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14484D42"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E1FA9">
        <w:rPr>
          <w:rFonts w:cs="Arial"/>
          <w:bCs/>
          <w:noProof w:val="0"/>
          <w:sz w:val="24"/>
          <w:szCs w:val="24"/>
        </w:rPr>
        <w:t>1</w:t>
      </w:r>
      <w:r w:rsidR="00826296">
        <w:rPr>
          <w:rFonts w:cs="Arial"/>
          <w:bCs/>
          <w:noProof w:val="0"/>
          <w:sz w:val="24"/>
          <w:szCs w:val="24"/>
        </w:rPr>
        <w:t>bis</w:t>
      </w:r>
      <w:r w:rsidRPr="00273715">
        <w:rPr>
          <w:rFonts w:cs="Arial"/>
          <w:noProof w:val="0"/>
          <w:sz w:val="24"/>
          <w:lang w:eastAsia="zh-CN"/>
        </w:rPr>
        <w:tab/>
      </w:r>
      <w:r w:rsidR="005A39BA" w:rsidRPr="005A39BA">
        <w:rPr>
          <w:rFonts w:cs="Arial"/>
          <w:noProof w:val="0"/>
          <w:sz w:val="24"/>
          <w:lang w:eastAsia="zh-CN"/>
        </w:rPr>
        <w:t>R3-235255</w:t>
      </w:r>
    </w:p>
    <w:p w14:paraId="2F77B811" w14:textId="03C833AB" w:rsidR="00002A50" w:rsidRDefault="00F14A45" w:rsidP="00002A50">
      <w:pPr>
        <w:pStyle w:val="a3"/>
        <w:tabs>
          <w:tab w:val="right" w:pos="9639"/>
        </w:tabs>
        <w:jc w:val="both"/>
        <w:rPr>
          <w:rFonts w:cs="Arial"/>
          <w:bCs/>
          <w:noProof w:val="0"/>
          <w:sz w:val="24"/>
          <w:szCs w:val="24"/>
        </w:rPr>
      </w:pPr>
      <w:r>
        <w:rPr>
          <w:rFonts w:cs="Arial"/>
          <w:bCs/>
          <w:noProof w:val="0"/>
          <w:sz w:val="24"/>
          <w:szCs w:val="24"/>
        </w:rPr>
        <w:t>Xiamen</w:t>
      </w:r>
      <w:r w:rsidR="00002A50">
        <w:rPr>
          <w:rFonts w:cs="Arial"/>
          <w:bCs/>
          <w:noProof w:val="0"/>
          <w:sz w:val="24"/>
          <w:szCs w:val="24"/>
        </w:rPr>
        <w:t xml:space="preserve">, </w:t>
      </w:r>
      <w:r>
        <w:rPr>
          <w:rFonts w:cs="Arial"/>
          <w:bCs/>
          <w:noProof w:val="0"/>
          <w:sz w:val="24"/>
          <w:szCs w:val="24"/>
        </w:rPr>
        <w:t>China</w:t>
      </w:r>
      <w:r w:rsidR="00002A50">
        <w:rPr>
          <w:rFonts w:cs="Arial"/>
          <w:bCs/>
          <w:noProof w:val="0"/>
          <w:sz w:val="24"/>
          <w:szCs w:val="24"/>
        </w:rPr>
        <w:t xml:space="preserve">, </w:t>
      </w:r>
      <w:r>
        <w:rPr>
          <w:rFonts w:cs="Arial"/>
          <w:bCs/>
          <w:noProof w:val="0"/>
          <w:sz w:val="24"/>
          <w:szCs w:val="24"/>
        </w:rPr>
        <w:t>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w:t>
      </w:r>
      <w:r w:rsidR="001C1286">
        <w:rPr>
          <w:rFonts w:cs="Arial"/>
          <w:bCs/>
          <w:noProof w:val="0"/>
          <w:sz w:val="24"/>
          <w:szCs w:val="24"/>
        </w:rPr>
        <w:t xml:space="preserve">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0212DE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230868">
        <w:rPr>
          <w:rFonts w:ascii="Arial" w:hAnsi="Arial" w:cs="Arial"/>
          <w:b/>
          <w:bCs/>
          <w:sz w:val="24"/>
        </w:rPr>
        <w:t>25.2</w:t>
      </w:r>
      <w:r w:rsidR="00826296">
        <w:rPr>
          <w:rFonts w:ascii="Arial" w:hAnsi="Arial" w:cs="Arial"/>
          <w:b/>
          <w:bCs/>
          <w:sz w:val="24"/>
        </w:rPr>
        <w:t>.1</w:t>
      </w:r>
      <w:proofErr w:type="gramEnd"/>
    </w:p>
    <w:p w14:paraId="61F6732C" w14:textId="1CEB01C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r w:rsidR="00F63BA1">
        <w:rPr>
          <w:rFonts w:ascii="Arial" w:hAnsi="Arial" w:cs="Arial"/>
          <w:b/>
          <w:bCs/>
          <w:sz w:val="24"/>
        </w:rPr>
        <w:t>, Ericsson</w:t>
      </w:r>
    </w:p>
    <w:p w14:paraId="46AD591E" w14:textId="2418132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474FC2">
        <w:rPr>
          <w:rFonts w:ascii="Arial" w:hAnsi="Arial" w:cs="Arial"/>
          <w:b/>
          <w:bCs/>
          <w:sz w:val="24"/>
        </w:rPr>
        <w:t>User Plane Protocol for PDU Set Information</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70325732" w:rsidR="00595125" w:rsidRPr="00595125" w:rsidRDefault="00447303"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how to model the user plane protocol for PDU set information and End of Data Burst indication. </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80E89FD" w14:textId="243EDCB6" w:rsidR="00F14A45" w:rsidRDefault="008040E7" w:rsidP="00054ED8">
      <w:pPr>
        <w:spacing w:after="120"/>
        <w:rPr>
          <w:rFonts w:asciiTheme="majorHAnsi" w:hAnsiTheme="majorHAnsi"/>
          <w:lang w:eastAsia="ko-KR"/>
        </w:rPr>
      </w:pPr>
      <w:r w:rsidRPr="00054ED8">
        <w:rPr>
          <w:rFonts w:asciiTheme="majorHAnsi" w:hAnsiTheme="majorHAnsi" w:hint="eastAsia"/>
          <w:lang w:eastAsia="ko-KR"/>
        </w:rPr>
        <w:t>A</w:t>
      </w:r>
      <w:r w:rsidRPr="00054ED8">
        <w:rPr>
          <w:rFonts w:asciiTheme="majorHAnsi" w:hAnsiTheme="majorHAnsi"/>
          <w:lang w:eastAsia="ko-KR"/>
        </w:rPr>
        <w:t>s we agreed in the RAN3#121 meeting, the PDU S</w:t>
      </w:r>
      <w:r w:rsidRPr="00054ED8">
        <w:rPr>
          <w:rFonts w:asciiTheme="majorHAnsi" w:hAnsiTheme="majorHAnsi" w:hint="eastAsia"/>
          <w:lang w:eastAsia="ko-KR"/>
        </w:rPr>
        <w:t>et</w:t>
      </w:r>
      <w:r w:rsidRPr="00054ED8">
        <w:rPr>
          <w:rFonts w:asciiTheme="majorHAnsi" w:hAnsiTheme="majorHAnsi"/>
          <w:lang w:eastAsia="ko-KR"/>
        </w:rPr>
        <w:t xml:space="preserve"> Information as well as End of Data </w:t>
      </w:r>
      <w:r w:rsidR="00447303">
        <w:rPr>
          <w:rFonts w:asciiTheme="majorHAnsi" w:hAnsiTheme="majorHAnsi"/>
          <w:lang w:eastAsia="ko-KR"/>
        </w:rPr>
        <w:t>B</w:t>
      </w:r>
      <w:r w:rsidRPr="00054ED8">
        <w:rPr>
          <w:rFonts w:asciiTheme="majorHAnsi" w:hAnsiTheme="majorHAnsi"/>
          <w:lang w:eastAsia="ko-KR"/>
        </w:rPr>
        <w:t xml:space="preserve">urst </w:t>
      </w:r>
      <w:r w:rsidR="00DE41DA" w:rsidRPr="00054ED8">
        <w:rPr>
          <w:rFonts w:asciiTheme="majorHAnsi" w:hAnsiTheme="majorHAnsi"/>
          <w:lang w:eastAsia="ko-KR"/>
        </w:rPr>
        <w:t xml:space="preserve">should be provided in the GTP-U </w:t>
      </w:r>
      <w:r w:rsidR="00DE41DA" w:rsidRPr="00054ED8">
        <w:rPr>
          <w:rFonts w:asciiTheme="majorHAnsi" w:hAnsiTheme="majorHAnsi" w:hint="eastAsia"/>
          <w:lang w:eastAsia="ko-KR"/>
        </w:rPr>
        <w:t>e</w:t>
      </w:r>
      <w:r w:rsidR="00DE41DA" w:rsidRPr="00054ED8">
        <w:rPr>
          <w:rFonts w:asciiTheme="majorHAnsi" w:hAnsiTheme="majorHAnsi"/>
          <w:lang w:eastAsia="ko-KR"/>
        </w:rPr>
        <w:t xml:space="preserve">xtension header of a </w:t>
      </w:r>
      <w:r w:rsidR="00054ED8" w:rsidRPr="00054ED8">
        <w:rPr>
          <w:rFonts w:asciiTheme="majorHAnsi" w:hAnsiTheme="majorHAnsi"/>
          <w:lang w:eastAsia="ko-KR"/>
        </w:rPr>
        <w:t>PDU</w:t>
      </w:r>
      <w:r w:rsidR="00054ED8">
        <w:rPr>
          <w:rFonts w:asciiTheme="majorHAnsi" w:hAnsiTheme="majorHAnsi"/>
          <w:lang w:eastAsia="ko-KR"/>
        </w:rPr>
        <w:t xml:space="preserve">. The PDU Set Information includes PDU Set Sequence Number, Indication of End PDU of the PDU set, PDU Sequence Number within a PDU Set, PDU Set Size in bytes and PDU Set Importance. </w:t>
      </w:r>
      <w:r w:rsidR="00EA4658">
        <w:rPr>
          <w:rFonts w:asciiTheme="majorHAnsi" w:hAnsiTheme="majorHAnsi"/>
          <w:lang w:eastAsia="ko-KR"/>
        </w:rPr>
        <w:t>However, how to model the user plane protocol has not been decided yet</w:t>
      </w:r>
      <w:r w:rsidR="00E4796F">
        <w:rPr>
          <w:rFonts w:asciiTheme="majorHAnsi" w:hAnsiTheme="majorHAnsi"/>
          <w:lang w:eastAsia="ko-KR"/>
        </w:rPr>
        <w:t xml:space="preserve">.  Basically, we think </w:t>
      </w:r>
      <w:r w:rsidR="009C16F5">
        <w:rPr>
          <w:rFonts w:asciiTheme="majorHAnsi" w:hAnsiTheme="majorHAnsi"/>
          <w:lang w:eastAsia="ko-KR"/>
        </w:rPr>
        <w:t>there are three options.</w:t>
      </w:r>
    </w:p>
    <w:p w14:paraId="2E2048E3" w14:textId="6A24BA34" w:rsidR="00306940" w:rsidRPr="00306940" w:rsidRDefault="00306940" w:rsidP="00306940">
      <w:pPr>
        <w:pStyle w:val="B1"/>
        <w:spacing w:after="120"/>
        <w:rPr>
          <w:rFonts w:asciiTheme="majorHAnsi" w:hAnsiTheme="majorHAnsi"/>
        </w:rPr>
      </w:pPr>
      <w:r w:rsidRPr="00306940">
        <w:rPr>
          <w:rFonts w:asciiTheme="majorHAnsi" w:hAnsiTheme="majorHAnsi"/>
        </w:rPr>
        <w:t>-</w:t>
      </w:r>
      <w:r>
        <w:rPr>
          <w:rFonts w:asciiTheme="majorHAnsi" w:hAnsiTheme="majorHAnsi"/>
        </w:rPr>
        <w:tab/>
      </w:r>
      <w:r w:rsidRPr="00306940">
        <w:rPr>
          <w:rFonts w:asciiTheme="majorHAnsi" w:hAnsiTheme="majorHAnsi"/>
        </w:rPr>
        <w:t>Option 1: add the PDU set information as a new IE in the existing Frames (</w:t>
      </w:r>
      <w:proofErr w:type="gramStart"/>
      <w:r w:rsidRPr="00306940">
        <w:rPr>
          <w:rFonts w:asciiTheme="majorHAnsi" w:hAnsiTheme="majorHAnsi"/>
        </w:rPr>
        <w:t>e.g.</w:t>
      </w:r>
      <w:proofErr w:type="gramEnd"/>
      <w:r w:rsidRPr="00306940">
        <w:rPr>
          <w:rFonts w:asciiTheme="majorHAnsi" w:hAnsiTheme="majorHAnsi"/>
        </w:rPr>
        <w:t xml:space="preserve"> frame with PDU Type =0)</w:t>
      </w:r>
      <w:r w:rsidR="00E00CF9">
        <w:rPr>
          <w:rFonts w:asciiTheme="majorHAnsi" w:hAnsiTheme="majorHAnsi"/>
        </w:rPr>
        <w:t>;</w:t>
      </w:r>
    </w:p>
    <w:p w14:paraId="27990542" w14:textId="6D78B611" w:rsidR="00306940" w:rsidRPr="00306940" w:rsidRDefault="00E00CF9" w:rsidP="00306940">
      <w:pPr>
        <w:pStyle w:val="B1"/>
        <w:spacing w:after="120"/>
        <w:rPr>
          <w:rFonts w:asciiTheme="majorHAnsi" w:hAnsiTheme="majorHAnsi"/>
        </w:rPr>
      </w:pPr>
      <w:r>
        <w:rPr>
          <w:rFonts w:asciiTheme="majorHAnsi" w:hAnsiTheme="majorHAnsi"/>
        </w:rPr>
        <w:t>-</w:t>
      </w:r>
      <w:r>
        <w:rPr>
          <w:rFonts w:asciiTheme="majorHAnsi" w:hAnsiTheme="majorHAnsi"/>
        </w:rPr>
        <w:tab/>
      </w:r>
      <w:r w:rsidR="00306940" w:rsidRPr="00306940">
        <w:rPr>
          <w:rFonts w:asciiTheme="majorHAnsi" w:hAnsiTheme="majorHAnsi"/>
        </w:rPr>
        <w:t xml:space="preserve">Option 2: add the PDU Set Information as a new Frame (PDU type) in the existing </w:t>
      </w:r>
      <w:r w:rsidR="00F63BA1">
        <w:rPr>
          <w:rFonts w:asciiTheme="majorHAnsi" w:hAnsiTheme="majorHAnsi"/>
        </w:rPr>
        <w:t xml:space="preserve">GTP-U extension </w:t>
      </w:r>
      <w:proofErr w:type="gramStart"/>
      <w:r w:rsidR="00306940" w:rsidRPr="00306940">
        <w:rPr>
          <w:rFonts w:asciiTheme="majorHAnsi" w:hAnsiTheme="majorHAnsi"/>
        </w:rPr>
        <w:t>container</w:t>
      </w:r>
      <w:r w:rsidR="00F00F03">
        <w:rPr>
          <w:rFonts w:asciiTheme="majorHAnsi" w:hAnsiTheme="majorHAnsi"/>
        </w:rPr>
        <w:t>;</w:t>
      </w:r>
      <w:proofErr w:type="gramEnd"/>
    </w:p>
    <w:p w14:paraId="346B71D2" w14:textId="6E31DF94" w:rsidR="00306940" w:rsidRPr="00306940" w:rsidRDefault="00E00CF9" w:rsidP="00306940">
      <w:pPr>
        <w:pStyle w:val="B1"/>
        <w:spacing w:after="120"/>
        <w:rPr>
          <w:rFonts w:asciiTheme="majorHAnsi" w:hAnsiTheme="majorHAnsi"/>
        </w:rPr>
      </w:pPr>
      <w:r>
        <w:rPr>
          <w:rFonts w:asciiTheme="majorHAnsi" w:hAnsiTheme="majorHAnsi"/>
        </w:rPr>
        <w:t>-</w:t>
      </w:r>
      <w:r>
        <w:rPr>
          <w:rFonts w:asciiTheme="majorHAnsi" w:hAnsiTheme="majorHAnsi"/>
        </w:rPr>
        <w:tab/>
      </w:r>
      <w:r w:rsidR="00306940" w:rsidRPr="00306940">
        <w:rPr>
          <w:rFonts w:asciiTheme="majorHAnsi" w:hAnsiTheme="majorHAnsi"/>
        </w:rPr>
        <w:t xml:space="preserve">Option 3: </w:t>
      </w:r>
      <w:r w:rsidR="00F00F03">
        <w:rPr>
          <w:rFonts w:asciiTheme="majorHAnsi" w:hAnsiTheme="majorHAnsi"/>
        </w:rPr>
        <w:t>D</w:t>
      </w:r>
      <w:r w:rsidR="00306940" w:rsidRPr="00306940">
        <w:rPr>
          <w:rFonts w:asciiTheme="majorHAnsi" w:hAnsiTheme="majorHAnsi"/>
        </w:rPr>
        <w:t xml:space="preserve">efine the PDU Set Information as a new </w:t>
      </w:r>
      <w:r w:rsidR="00F63BA1">
        <w:rPr>
          <w:rFonts w:asciiTheme="majorHAnsi" w:hAnsiTheme="majorHAnsi"/>
        </w:rPr>
        <w:t xml:space="preserve">GTP-U extension </w:t>
      </w:r>
      <w:r w:rsidR="00306940" w:rsidRPr="00306940">
        <w:rPr>
          <w:rFonts w:asciiTheme="majorHAnsi" w:hAnsiTheme="majorHAnsi"/>
          <w:lang w:eastAsia="zh-CN"/>
        </w:rPr>
        <w:t>cont</w:t>
      </w:r>
      <w:r w:rsidR="00306940" w:rsidRPr="00306940">
        <w:rPr>
          <w:rFonts w:asciiTheme="majorHAnsi" w:hAnsiTheme="majorHAnsi"/>
        </w:rPr>
        <w:t>ainer</w:t>
      </w:r>
      <w:r>
        <w:rPr>
          <w:rFonts w:asciiTheme="majorHAnsi" w:hAnsiTheme="majorHAnsi"/>
        </w:rPr>
        <w:t>.</w:t>
      </w:r>
    </w:p>
    <w:p w14:paraId="4DBD388C" w14:textId="35C0C86A" w:rsidR="00E753EC" w:rsidRDefault="009117E3" w:rsidP="00E753EC">
      <w:pPr>
        <w:spacing w:after="120"/>
        <w:rPr>
          <w:rFonts w:ascii="Cambria" w:hAnsi="Cambria" w:cs="Calibri"/>
        </w:rPr>
      </w:pPr>
      <w:r>
        <w:rPr>
          <w:rFonts w:ascii="Cambria" w:hAnsi="Cambria" w:cs="Calibri"/>
        </w:rPr>
        <w:t>For option 1, RAN3 has discussed optional presence of IEs in the user plane protocols. As specified in the Annex A.1 in both TS 38.415</w:t>
      </w:r>
      <w:r w:rsidR="00447303">
        <w:rPr>
          <w:rFonts w:ascii="Cambria" w:hAnsi="Cambria" w:cs="Calibri"/>
        </w:rPr>
        <w:t xml:space="preserve"> [1]</w:t>
      </w:r>
      <w:r>
        <w:rPr>
          <w:rFonts w:ascii="Cambria" w:hAnsi="Cambria" w:cs="Calibri"/>
        </w:rPr>
        <w:t xml:space="preserve"> and 38.425</w:t>
      </w:r>
      <w:r w:rsidR="00447303">
        <w:rPr>
          <w:rFonts w:ascii="Cambria" w:hAnsi="Cambria" w:cs="Calibri"/>
        </w:rPr>
        <w:t xml:space="preserve"> [2]</w:t>
      </w:r>
      <w:r>
        <w:rPr>
          <w:rFonts w:ascii="Cambria" w:hAnsi="Cambria" w:cs="Calibri"/>
        </w:rPr>
        <w:t>, e</w:t>
      </w:r>
      <w:r w:rsidRPr="00B60A5B">
        <w:rPr>
          <w:rFonts w:ascii="Cambria" w:hAnsi="Cambria" w:cs="Calibri"/>
        </w:rPr>
        <w:t xml:space="preserve">xample of using </w:t>
      </w:r>
      <w:r>
        <w:rPr>
          <w:rFonts w:ascii="Cambria" w:hAnsi="Cambria" w:cs="Calibri"/>
        </w:rPr>
        <w:t>f</w:t>
      </w:r>
      <w:r w:rsidRPr="00B60A5B">
        <w:rPr>
          <w:rFonts w:ascii="Cambria" w:hAnsi="Cambria" w:cs="Calibri"/>
        </w:rPr>
        <w:t xml:space="preserve">uture </w:t>
      </w:r>
      <w:r>
        <w:rPr>
          <w:rFonts w:ascii="Cambria" w:hAnsi="Cambria" w:cs="Calibri"/>
        </w:rPr>
        <w:t>e</w:t>
      </w:r>
      <w:r w:rsidRPr="00B60A5B">
        <w:rPr>
          <w:rFonts w:ascii="Cambria" w:hAnsi="Cambria" w:cs="Calibri"/>
        </w:rPr>
        <w:t xml:space="preserve">xtension </w:t>
      </w:r>
      <w:r>
        <w:rPr>
          <w:rFonts w:ascii="Cambria" w:hAnsi="Cambria" w:cs="Calibri"/>
        </w:rPr>
        <w:t>f</w:t>
      </w:r>
      <w:r w:rsidRPr="00B60A5B">
        <w:rPr>
          <w:rFonts w:ascii="Cambria" w:hAnsi="Cambria" w:cs="Calibri"/>
        </w:rPr>
        <w:t>ield</w:t>
      </w:r>
      <w:r>
        <w:rPr>
          <w:rFonts w:ascii="Cambria" w:hAnsi="Cambria" w:cs="Calibri"/>
        </w:rPr>
        <w:t xml:space="preserve"> is provided. However, how to handle the un</w:t>
      </w:r>
      <w:r w:rsidRPr="00B60A5B">
        <w:rPr>
          <w:rFonts w:ascii="Cambria" w:hAnsi="Cambria" w:cs="Calibri"/>
        </w:rPr>
        <w:t xml:space="preserve">known, </w:t>
      </w:r>
      <w:proofErr w:type="gramStart"/>
      <w:r w:rsidRPr="00B60A5B">
        <w:rPr>
          <w:rFonts w:ascii="Cambria" w:hAnsi="Cambria" w:cs="Calibri"/>
        </w:rPr>
        <w:t>unforeseen</w:t>
      </w:r>
      <w:proofErr w:type="gramEnd"/>
      <w:r w:rsidRPr="00B60A5B">
        <w:rPr>
          <w:rFonts w:ascii="Cambria" w:hAnsi="Cambria" w:cs="Calibri"/>
        </w:rPr>
        <w:t xml:space="preserve"> and erroneous protocol data</w:t>
      </w:r>
      <w:r>
        <w:rPr>
          <w:rFonts w:ascii="Cambria" w:hAnsi="Cambria" w:cs="Calibri"/>
        </w:rPr>
        <w:t xml:space="preserve"> is not </w:t>
      </w:r>
      <w:r w:rsidR="009908B4">
        <w:rPr>
          <w:rFonts w:ascii="Cambria" w:hAnsi="Cambria" w:cs="Calibri"/>
        </w:rPr>
        <w:t xml:space="preserve">clearly </w:t>
      </w:r>
      <w:r>
        <w:rPr>
          <w:rFonts w:ascii="Cambria" w:hAnsi="Cambria" w:cs="Calibri"/>
        </w:rPr>
        <w:t>specified in both specifications (</w:t>
      </w:r>
      <w:r w:rsidR="005F3B55">
        <w:rPr>
          <w:rFonts w:ascii="Cambria" w:hAnsi="Cambria" w:cs="Calibri"/>
        </w:rPr>
        <w:t xml:space="preserve">referring to the section </w:t>
      </w:r>
      <w:r>
        <w:rPr>
          <w:rFonts w:ascii="Cambria" w:hAnsi="Cambria" w:cs="Calibri"/>
        </w:rPr>
        <w:t xml:space="preserve">5.6). In non-homogenous cases, if the target gNB does not support PDU set concept, e.g., the target gNB </w:t>
      </w:r>
      <w:r w:rsidR="005F3B55">
        <w:rPr>
          <w:rFonts w:ascii="Cambria" w:hAnsi="Cambria" w:cs="Calibri"/>
        </w:rPr>
        <w:t>cannot</w:t>
      </w:r>
      <w:r>
        <w:rPr>
          <w:rFonts w:ascii="Cambria" w:hAnsi="Cambria" w:cs="Calibri"/>
        </w:rPr>
        <w:t xml:space="preserve"> comprehend the new IE in the Frame, how the target gNB handle the case is not clearly specified </w:t>
      </w:r>
      <w:proofErr w:type="gramStart"/>
      <w:r>
        <w:rPr>
          <w:rFonts w:ascii="Cambria" w:hAnsi="Cambria" w:cs="Calibri"/>
        </w:rPr>
        <w:t>e.g.</w:t>
      </w:r>
      <w:proofErr w:type="gramEnd"/>
      <w:r>
        <w:rPr>
          <w:rFonts w:ascii="Cambria" w:hAnsi="Cambria" w:cs="Calibri"/>
        </w:rPr>
        <w:t xml:space="preserve"> ignores the new IE or reject the whole Frame. From this view, whether option 1 can work well in non-homogeneous case is not clear</w:t>
      </w:r>
      <w:r w:rsidR="00F63BA1">
        <w:rPr>
          <w:rFonts w:ascii="Cambria" w:hAnsi="Cambria" w:cs="Calibri"/>
        </w:rPr>
        <w:t>, as no extension mechanism was explicitly specified, which would allow a receiver to cope with unknown Information Elements added to a 38.415/425 frame. As no extension mechanism was specified explicitly, it cannot be expected that interworking between two nodes which have implemented different versions of 38.415/425 can work in general</w:t>
      </w:r>
      <w:r>
        <w:rPr>
          <w:rFonts w:ascii="Cambria" w:hAnsi="Cambria" w:cs="Calibri"/>
        </w:rPr>
        <w:t>.</w:t>
      </w:r>
    </w:p>
    <w:p w14:paraId="694F635C" w14:textId="48FB0E0A" w:rsidR="00E753EC" w:rsidRDefault="00E753EC" w:rsidP="00E753EC">
      <w:pPr>
        <w:spacing w:after="120"/>
        <w:rPr>
          <w:rFonts w:ascii="Cambria" w:hAnsi="Cambria" w:cs="Calibri"/>
        </w:rPr>
      </w:pPr>
      <w:r>
        <w:rPr>
          <w:rFonts w:ascii="Cambria" w:hAnsi="Cambria" w:cs="Calibri"/>
        </w:rPr>
        <w:t>For option 2, it is not feasible to include two frames in one GTP-U extension header according to existing TS 38.415 and TS 38.425. Another possibility is to include two GTP-U extension headers with the same container but different frames in the GTP-U header. Whether the two GTP-U extension headers with the same container is feasibility or not</w:t>
      </w:r>
      <w:r w:rsidR="003E58DB">
        <w:rPr>
          <w:rFonts w:ascii="Cambria" w:hAnsi="Cambria" w:cs="Calibri"/>
        </w:rPr>
        <w:t xml:space="preserve"> should </w:t>
      </w:r>
      <w:r w:rsidR="008E4CBB">
        <w:rPr>
          <w:rFonts w:ascii="Cambria" w:hAnsi="Cambria" w:cs="Calibri"/>
        </w:rPr>
        <w:t>also be checked with CT4.</w:t>
      </w:r>
      <w:r>
        <w:rPr>
          <w:rFonts w:ascii="Cambria" w:hAnsi="Cambria" w:cs="Calibri"/>
        </w:rPr>
        <w:t xml:space="preserve"> </w:t>
      </w:r>
      <w:r w:rsidR="00F63BA1">
        <w:rPr>
          <w:rFonts w:ascii="Cambria" w:hAnsi="Cambria" w:cs="Calibri"/>
        </w:rPr>
        <w:t>Another issue is the PDU Set related parameters are used both over N3 TS 38.415 and NG-RAN User plane protocol in TS 38.425, this approach would mean the changes need to be duplicated in two different specifications.</w:t>
      </w:r>
    </w:p>
    <w:p w14:paraId="25A3BEC1" w14:textId="14087C63" w:rsidR="00E753EC" w:rsidRDefault="00E753EC" w:rsidP="00E753EC">
      <w:pPr>
        <w:spacing w:after="120"/>
        <w:rPr>
          <w:rFonts w:ascii="Cambria" w:hAnsi="Cambria" w:cs="Calibri"/>
        </w:rPr>
      </w:pPr>
      <w:r>
        <w:rPr>
          <w:rFonts w:ascii="Cambria" w:hAnsi="Cambria" w:cs="Calibri" w:hint="eastAsia"/>
        </w:rPr>
        <w:t>F</w:t>
      </w:r>
      <w:r>
        <w:rPr>
          <w:rFonts w:ascii="Cambria" w:hAnsi="Cambria" w:cs="Calibri"/>
        </w:rPr>
        <w:t xml:space="preserve">or option 3, it requires CT4 to define a new </w:t>
      </w:r>
      <w:r w:rsidR="00F63BA1">
        <w:rPr>
          <w:rFonts w:ascii="Cambria" w:hAnsi="Cambria" w:cs="Calibri"/>
        </w:rPr>
        <w:t xml:space="preserve">GTP-U extension </w:t>
      </w:r>
      <w:r>
        <w:rPr>
          <w:rFonts w:ascii="Cambria" w:hAnsi="Cambria" w:cs="Calibri"/>
        </w:rPr>
        <w:t xml:space="preserve">container. If a new </w:t>
      </w:r>
      <w:r w:rsidR="00F63BA1">
        <w:rPr>
          <w:rFonts w:ascii="Cambria" w:hAnsi="Cambria" w:cs="Calibri"/>
        </w:rPr>
        <w:t xml:space="preserve">GTP-U extension </w:t>
      </w:r>
      <w:r>
        <w:rPr>
          <w:rFonts w:ascii="Cambria" w:hAnsi="Cambria" w:cs="Calibri"/>
        </w:rPr>
        <w:t>container is introduced, it can work well in non-homogeneous case as specified in TS 29.281</w:t>
      </w:r>
      <w:r w:rsidR="00447303">
        <w:rPr>
          <w:rFonts w:ascii="Cambria" w:hAnsi="Cambria" w:cs="Calibri"/>
        </w:rPr>
        <w:t xml:space="preserve"> [3]</w:t>
      </w:r>
      <w:r>
        <w:rPr>
          <w:rFonts w:ascii="Cambria" w:hAnsi="Cambria" w:cs="Calibri"/>
        </w:rPr>
        <w:t xml:space="preserve">. The bits 7 and 8 of the Next Extension Header Type define how the recipient shall handle unknown Extension Type, such as ‘comprehension not required </w:t>
      </w:r>
      <w:proofErr w:type="gramStart"/>
      <w:r>
        <w:rPr>
          <w:rFonts w:ascii="Cambria" w:hAnsi="Cambria" w:cs="Calibri"/>
        </w:rPr>
        <w:t>and etc.</w:t>
      </w:r>
      <w:proofErr w:type="gramEnd"/>
    </w:p>
    <w:tbl>
      <w:tblPr>
        <w:tblStyle w:val="afa"/>
        <w:tblW w:w="0" w:type="auto"/>
        <w:tblLook w:val="04A0" w:firstRow="1" w:lastRow="0" w:firstColumn="1" w:lastColumn="0" w:noHBand="0" w:noVBand="1"/>
      </w:tblPr>
      <w:tblGrid>
        <w:gridCol w:w="9855"/>
      </w:tblGrid>
      <w:tr w:rsidR="005A018B" w14:paraId="20576D4B" w14:textId="77777777" w:rsidTr="005A018B">
        <w:tc>
          <w:tcPr>
            <w:tcW w:w="9855" w:type="dxa"/>
          </w:tcPr>
          <w:p w14:paraId="785743BF" w14:textId="77777777" w:rsidR="00901F59" w:rsidRPr="00901F59" w:rsidRDefault="00901F59" w:rsidP="00901F59">
            <w:pPr>
              <w:keepNext/>
              <w:keepLines/>
              <w:spacing w:before="120"/>
              <w:ind w:left="1134" w:hanging="1134"/>
              <w:outlineLvl w:val="2"/>
              <w:rPr>
                <w:rFonts w:ascii="Arial" w:eastAsia="等线" w:hAnsi="Arial"/>
                <w:sz w:val="28"/>
              </w:rPr>
            </w:pPr>
            <w:bookmarkStart w:id="4" w:name="_Toc20213216"/>
            <w:bookmarkStart w:id="5" w:name="_Toc27752125"/>
            <w:bookmarkStart w:id="6" w:name="_Toc27752760"/>
            <w:bookmarkStart w:id="7" w:name="_Toc137712888"/>
            <w:r w:rsidRPr="00901F59">
              <w:rPr>
                <w:rFonts w:ascii="Arial" w:eastAsia="等线" w:hAnsi="Arial"/>
                <w:sz w:val="28"/>
              </w:rPr>
              <w:lastRenderedPageBreak/>
              <w:t>5.2.1</w:t>
            </w:r>
            <w:r w:rsidRPr="00901F59">
              <w:rPr>
                <w:rFonts w:ascii="Arial" w:eastAsia="等线" w:hAnsi="Arial"/>
                <w:sz w:val="28"/>
              </w:rPr>
              <w:tab/>
              <w:t>General format of the GTP-U Extension Header</w:t>
            </w:r>
            <w:bookmarkEnd w:id="4"/>
            <w:bookmarkEnd w:id="5"/>
            <w:bookmarkEnd w:id="6"/>
            <w:bookmarkEnd w:id="7"/>
          </w:p>
          <w:p w14:paraId="59841FFA" w14:textId="77777777" w:rsidR="00E57DD0" w:rsidRPr="003F1FCA" w:rsidRDefault="00E57DD0" w:rsidP="00E57DD0">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3CCBA558" w14:textId="77777777" w:rsidR="00E57DD0" w:rsidRPr="003F1FCA" w:rsidRDefault="00E57DD0" w:rsidP="00E57DD0">
            <w:r w:rsidRPr="003F1FCA">
              <w:t>The recipient of an extension header of unknown type</w:t>
            </w:r>
            <w:r>
              <w:t>,</w:t>
            </w:r>
            <w:r w:rsidRPr="003F1FCA">
              <w:t xml:space="preserve"> but marked as 'comprehension required' for that recipient</w:t>
            </w:r>
            <w:r>
              <w:t>,</w:t>
            </w:r>
            <w:r w:rsidRPr="003F1FCA">
              <w:t xml:space="preserve"> shall:</w:t>
            </w:r>
          </w:p>
          <w:p w14:paraId="745C9F47" w14:textId="24ADEF0E" w:rsidR="005A018B" w:rsidRPr="0021390C" w:rsidRDefault="00E57DD0" w:rsidP="0021390C">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tc>
      </w:tr>
    </w:tbl>
    <w:p w14:paraId="79317463" w14:textId="77777777" w:rsidR="005A018B" w:rsidRDefault="005A018B" w:rsidP="00E753EC">
      <w:pPr>
        <w:spacing w:after="120"/>
        <w:rPr>
          <w:rFonts w:ascii="Cambria" w:hAnsi="Cambria" w:cs="Calibri"/>
        </w:rPr>
      </w:pPr>
    </w:p>
    <w:p w14:paraId="1473577A" w14:textId="7E02249C" w:rsidR="009C16F5" w:rsidRDefault="0042183E" w:rsidP="0063355E">
      <w:pPr>
        <w:rPr>
          <w:rFonts w:ascii="Cambria" w:eastAsiaTheme="minorEastAsia" w:hAnsi="Cambria" w:cs="Calibri"/>
          <w:lang w:eastAsia="zh-CN"/>
        </w:rPr>
      </w:pPr>
      <w:r>
        <w:rPr>
          <w:rFonts w:ascii="Cambria" w:eastAsiaTheme="minorEastAsia" w:hAnsi="Cambria" w:cs="Calibri"/>
          <w:lang w:eastAsia="zh-CN"/>
        </w:rPr>
        <w:t>A s</w:t>
      </w:r>
      <w:r w:rsidR="00C07969">
        <w:rPr>
          <w:rFonts w:ascii="Cambria" w:eastAsiaTheme="minorEastAsia" w:hAnsi="Cambria" w:cs="Calibri"/>
          <w:lang w:eastAsia="zh-CN"/>
        </w:rPr>
        <w:t>ummary of comparison of the three options is given in the following tabular</w:t>
      </w:r>
      <w:r w:rsidR="005C4366">
        <w:rPr>
          <w:rFonts w:ascii="Cambria" w:eastAsiaTheme="minorEastAsia" w:hAnsi="Cambria" w:cs="Calibri"/>
          <w:lang w:eastAsia="zh-CN"/>
        </w:rPr>
        <w:t>:</w:t>
      </w:r>
    </w:p>
    <w:tbl>
      <w:tblPr>
        <w:tblStyle w:val="afa"/>
        <w:tblW w:w="0" w:type="auto"/>
        <w:jc w:val="center"/>
        <w:tblLook w:val="04A0" w:firstRow="1" w:lastRow="0" w:firstColumn="1" w:lastColumn="0" w:noHBand="0" w:noVBand="1"/>
      </w:tblPr>
      <w:tblGrid>
        <w:gridCol w:w="2263"/>
        <w:gridCol w:w="6033"/>
      </w:tblGrid>
      <w:tr w:rsidR="004116F4" w14:paraId="3A38FD00" w14:textId="77777777" w:rsidTr="004116F4">
        <w:trPr>
          <w:jc w:val="center"/>
        </w:trPr>
        <w:tc>
          <w:tcPr>
            <w:tcW w:w="2263" w:type="dxa"/>
          </w:tcPr>
          <w:p w14:paraId="373261F4" w14:textId="77777777" w:rsidR="004116F4" w:rsidRPr="004116F4" w:rsidRDefault="004116F4" w:rsidP="005B1A85">
            <w:pPr>
              <w:rPr>
                <w:rFonts w:ascii="Cambria" w:hAnsi="Cambria" w:cs="Calibri"/>
                <w:b/>
                <w:bCs/>
              </w:rPr>
            </w:pPr>
            <w:r w:rsidRPr="004116F4">
              <w:rPr>
                <w:rFonts w:ascii="Cambria" w:hAnsi="Cambria" w:cs="Calibri" w:hint="eastAsia"/>
                <w:b/>
                <w:bCs/>
              </w:rPr>
              <w:t>O</w:t>
            </w:r>
            <w:r w:rsidRPr="004116F4">
              <w:rPr>
                <w:rFonts w:ascii="Cambria" w:hAnsi="Cambria" w:cs="Calibri"/>
                <w:b/>
                <w:bCs/>
              </w:rPr>
              <w:t>ptions</w:t>
            </w:r>
          </w:p>
        </w:tc>
        <w:tc>
          <w:tcPr>
            <w:tcW w:w="6033" w:type="dxa"/>
          </w:tcPr>
          <w:p w14:paraId="22E4AFCC" w14:textId="77777777" w:rsidR="004116F4" w:rsidRPr="004116F4" w:rsidRDefault="004116F4" w:rsidP="005B1A85">
            <w:pPr>
              <w:rPr>
                <w:rFonts w:ascii="Cambria" w:hAnsi="Cambria" w:cs="Calibri"/>
                <w:b/>
                <w:bCs/>
              </w:rPr>
            </w:pPr>
            <w:r w:rsidRPr="004116F4">
              <w:rPr>
                <w:rFonts w:ascii="Cambria" w:hAnsi="Cambria" w:cs="Calibri" w:hint="eastAsia"/>
                <w:b/>
                <w:bCs/>
              </w:rPr>
              <w:t>A</w:t>
            </w:r>
            <w:r w:rsidRPr="004116F4">
              <w:rPr>
                <w:rFonts w:ascii="Cambria" w:hAnsi="Cambria" w:cs="Calibri"/>
                <w:b/>
                <w:bCs/>
              </w:rPr>
              <w:t>nalysis</w:t>
            </w:r>
          </w:p>
        </w:tc>
      </w:tr>
      <w:tr w:rsidR="004116F4" w14:paraId="0AFA587F" w14:textId="77777777" w:rsidTr="004116F4">
        <w:trPr>
          <w:jc w:val="center"/>
        </w:trPr>
        <w:tc>
          <w:tcPr>
            <w:tcW w:w="2263" w:type="dxa"/>
          </w:tcPr>
          <w:p w14:paraId="374EC550" w14:textId="77777777" w:rsidR="004116F4" w:rsidRDefault="004116F4" w:rsidP="004116F4">
            <w:pPr>
              <w:spacing w:after="120"/>
              <w:rPr>
                <w:rFonts w:ascii="Cambria" w:hAnsi="Cambria" w:cs="Calibri"/>
              </w:rPr>
            </w:pPr>
            <w:r>
              <w:rPr>
                <w:rFonts w:ascii="Cambria" w:hAnsi="Cambria" w:cs="Calibri" w:hint="eastAsia"/>
              </w:rPr>
              <w:t>O</w:t>
            </w:r>
            <w:r>
              <w:rPr>
                <w:rFonts w:ascii="Cambria" w:hAnsi="Cambria" w:cs="Calibri"/>
              </w:rPr>
              <w:t xml:space="preserve">ption 1: </w:t>
            </w:r>
            <w:r w:rsidRPr="007761F7">
              <w:rPr>
                <w:rFonts w:ascii="Cambria" w:hAnsi="Cambria" w:cs="Calibri"/>
              </w:rPr>
              <w:t>add the PDU set information as a new IE in the existing Frames</w:t>
            </w:r>
          </w:p>
        </w:tc>
        <w:tc>
          <w:tcPr>
            <w:tcW w:w="6033" w:type="dxa"/>
          </w:tcPr>
          <w:p w14:paraId="63F45F82" w14:textId="77777777" w:rsidR="004116F4" w:rsidRDefault="004116F4" w:rsidP="004116F4">
            <w:pPr>
              <w:spacing w:after="120"/>
              <w:rPr>
                <w:rFonts w:ascii="Cambria" w:hAnsi="Cambria" w:cs="Calibri"/>
              </w:rPr>
            </w:pPr>
            <w:r>
              <w:rPr>
                <w:rFonts w:ascii="Cambria" w:hAnsi="Cambria" w:cs="Calibri"/>
              </w:rPr>
              <w:t>How to handle the un</w:t>
            </w:r>
            <w:r w:rsidRPr="00B60A5B">
              <w:rPr>
                <w:rFonts w:ascii="Cambria" w:hAnsi="Cambria" w:cs="Calibri"/>
              </w:rPr>
              <w:t>known</w:t>
            </w:r>
            <w:r>
              <w:rPr>
                <w:rFonts w:ascii="Cambria" w:hAnsi="Cambria" w:cs="Calibri"/>
              </w:rPr>
              <w:t xml:space="preserve"> new IE is not specified in both TS 38.415 and TS 38.425. Whether it can work well for non-homogenous case is not clear.</w:t>
            </w:r>
          </w:p>
          <w:p w14:paraId="3100E913" w14:textId="77777777" w:rsidR="004116F4" w:rsidRDefault="004116F4" w:rsidP="004116F4">
            <w:pPr>
              <w:spacing w:after="120"/>
              <w:rPr>
                <w:rFonts w:ascii="Cambria" w:hAnsi="Cambria" w:cs="Calibri"/>
              </w:rPr>
            </w:pPr>
            <w:r>
              <w:rPr>
                <w:rFonts w:ascii="Cambria" w:hAnsi="Cambria" w:cs="Calibri" w:hint="eastAsia"/>
              </w:rPr>
              <w:t>I</w:t>
            </w:r>
            <w:r>
              <w:rPr>
                <w:rFonts w:ascii="Cambria" w:hAnsi="Cambria" w:cs="Calibri"/>
              </w:rPr>
              <w:t>f option 1 is adopted, RAN3 needs to define how to handle the unknow IE in the receiving side.</w:t>
            </w:r>
          </w:p>
        </w:tc>
      </w:tr>
      <w:tr w:rsidR="004116F4" w14:paraId="14B1550C" w14:textId="77777777" w:rsidTr="004116F4">
        <w:trPr>
          <w:jc w:val="center"/>
        </w:trPr>
        <w:tc>
          <w:tcPr>
            <w:tcW w:w="2263" w:type="dxa"/>
          </w:tcPr>
          <w:p w14:paraId="4121A467" w14:textId="77777777" w:rsidR="004116F4" w:rsidRPr="007761F7" w:rsidRDefault="004116F4" w:rsidP="004116F4">
            <w:pPr>
              <w:spacing w:after="120"/>
              <w:rPr>
                <w:rFonts w:ascii="Cambria" w:hAnsi="Cambria" w:cs="Calibri"/>
              </w:rPr>
            </w:pPr>
            <w:r>
              <w:rPr>
                <w:rFonts w:ascii="Cambria" w:hAnsi="Cambria" w:cs="Calibri"/>
              </w:rPr>
              <w:t xml:space="preserve">Option 2: </w:t>
            </w:r>
            <w:r w:rsidRPr="007761F7">
              <w:rPr>
                <w:rFonts w:ascii="Cambria" w:hAnsi="Cambria" w:cs="Calibri"/>
              </w:rPr>
              <w:t xml:space="preserve">add the PDU Set Information as a new Frame (PDU type) in </w:t>
            </w:r>
            <w:r>
              <w:rPr>
                <w:rFonts w:ascii="Cambria" w:hAnsi="Cambria" w:cs="Calibri"/>
              </w:rPr>
              <w:t>an</w:t>
            </w:r>
            <w:r w:rsidRPr="007761F7">
              <w:rPr>
                <w:rFonts w:ascii="Cambria" w:hAnsi="Cambria" w:cs="Calibri"/>
              </w:rPr>
              <w:t xml:space="preserve"> existing </w:t>
            </w:r>
            <w:proofErr w:type="gramStart"/>
            <w:r w:rsidRPr="007761F7">
              <w:rPr>
                <w:rFonts w:ascii="Cambria" w:hAnsi="Cambria" w:cs="Calibri"/>
              </w:rPr>
              <w:t>container</w:t>
            </w:r>
            <w:proofErr w:type="gramEnd"/>
          </w:p>
          <w:p w14:paraId="42ACD9F6" w14:textId="77777777" w:rsidR="004116F4" w:rsidRPr="007761F7" w:rsidRDefault="004116F4" w:rsidP="004116F4">
            <w:pPr>
              <w:spacing w:after="120"/>
              <w:rPr>
                <w:rFonts w:ascii="Cambria" w:hAnsi="Cambria" w:cs="Calibri"/>
                <w:lang w:val="en-US"/>
              </w:rPr>
            </w:pPr>
          </w:p>
        </w:tc>
        <w:tc>
          <w:tcPr>
            <w:tcW w:w="6033" w:type="dxa"/>
          </w:tcPr>
          <w:p w14:paraId="7C328456" w14:textId="6474E8D6" w:rsidR="004116F4" w:rsidRDefault="004116F4" w:rsidP="004116F4">
            <w:pPr>
              <w:spacing w:after="120"/>
              <w:rPr>
                <w:rFonts w:ascii="Cambria" w:hAnsi="Cambria" w:cs="Calibri"/>
              </w:rPr>
            </w:pPr>
            <w:r>
              <w:rPr>
                <w:rFonts w:ascii="Cambria" w:hAnsi="Cambria" w:cs="Calibri"/>
              </w:rPr>
              <w:t>It is not feasible to include two frames in one GTP-U extension header according to existing TS 38.415 and TS 38.425.</w:t>
            </w:r>
          </w:p>
          <w:p w14:paraId="390BCC81" w14:textId="77777777" w:rsidR="004116F4" w:rsidRDefault="004116F4" w:rsidP="004116F4">
            <w:pPr>
              <w:spacing w:after="120"/>
              <w:rPr>
                <w:rFonts w:ascii="Cambria" w:hAnsi="Cambria" w:cs="Calibri"/>
              </w:rPr>
            </w:pPr>
            <w:r>
              <w:rPr>
                <w:rFonts w:ascii="Cambria" w:hAnsi="Cambria" w:cs="Calibri"/>
              </w:rPr>
              <w:t>whether it is feasible to include two GTP-U extension headers with the same container but different frames in the GTP-U header needs to be checked with CT4</w:t>
            </w:r>
          </w:p>
        </w:tc>
      </w:tr>
      <w:tr w:rsidR="004116F4" w14:paraId="7D57B071" w14:textId="77777777" w:rsidTr="004116F4">
        <w:trPr>
          <w:jc w:val="center"/>
        </w:trPr>
        <w:tc>
          <w:tcPr>
            <w:tcW w:w="2263" w:type="dxa"/>
          </w:tcPr>
          <w:p w14:paraId="72185B36" w14:textId="77777777" w:rsidR="004116F4" w:rsidRDefault="004116F4" w:rsidP="004116F4">
            <w:pPr>
              <w:spacing w:after="120"/>
              <w:rPr>
                <w:rFonts w:ascii="Cambria" w:hAnsi="Cambria" w:cs="Calibri"/>
              </w:rPr>
            </w:pPr>
            <w:r>
              <w:rPr>
                <w:rFonts w:ascii="Cambria" w:hAnsi="Cambria" w:cs="Calibri"/>
              </w:rPr>
              <w:t xml:space="preserve">Option 3: Define the PDU Set Information as a new </w:t>
            </w:r>
            <w:r>
              <w:rPr>
                <w:rFonts w:ascii="Cambria" w:hAnsi="Cambria" w:cs="Calibri" w:hint="eastAsia"/>
                <w:lang w:eastAsia="zh-CN"/>
              </w:rPr>
              <w:t>cont</w:t>
            </w:r>
            <w:r>
              <w:rPr>
                <w:rFonts w:ascii="Cambria" w:hAnsi="Cambria" w:cs="Calibri"/>
              </w:rPr>
              <w:t>ainer</w:t>
            </w:r>
          </w:p>
        </w:tc>
        <w:tc>
          <w:tcPr>
            <w:tcW w:w="6033" w:type="dxa"/>
          </w:tcPr>
          <w:p w14:paraId="2B702D1D" w14:textId="77777777" w:rsidR="004116F4" w:rsidRDefault="004116F4" w:rsidP="004116F4">
            <w:pPr>
              <w:spacing w:after="120"/>
              <w:rPr>
                <w:rFonts w:ascii="Cambria" w:hAnsi="Cambria" w:cs="Calibri"/>
              </w:rPr>
            </w:pPr>
            <w:r>
              <w:rPr>
                <w:rFonts w:ascii="Cambria" w:hAnsi="Cambria" w:cs="Calibri"/>
              </w:rPr>
              <w:t>It can work well in non-homogeneous case following the principle in TS 29.281.</w:t>
            </w:r>
          </w:p>
          <w:p w14:paraId="097F8D2D" w14:textId="77777777" w:rsidR="004116F4" w:rsidRDefault="004116F4" w:rsidP="004116F4">
            <w:pPr>
              <w:spacing w:after="120"/>
              <w:rPr>
                <w:rFonts w:ascii="Cambria" w:hAnsi="Cambria" w:cs="Calibri"/>
              </w:rPr>
            </w:pPr>
            <w:r>
              <w:rPr>
                <w:rFonts w:ascii="Cambria" w:hAnsi="Cambria" w:cs="Calibri"/>
              </w:rPr>
              <w:t>It needs CT4 to define a new type of GTP-U extension header.</w:t>
            </w:r>
          </w:p>
        </w:tc>
      </w:tr>
    </w:tbl>
    <w:p w14:paraId="3F3AB7DD" w14:textId="77777777" w:rsidR="005C4366" w:rsidRPr="004116F4" w:rsidRDefault="005C4366" w:rsidP="0063355E">
      <w:pPr>
        <w:rPr>
          <w:rFonts w:ascii="Cambria" w:eastAsiaTheme="minorEastAsia" w:hAnsi="Cambria" w:cs="Calibri"/>
          <w:lang w:eastAsia="zh-CN"/>
        </w:rPr>
      </w:pPr>
    </w:p>
    <w:p w14:paraId="0639BFAA" w14:textId="221A9807" w:rsidR="00E4796F" w:rsidRDefault="003D27D9" w:rsidP="00054ED8">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ccording to the comparison</w:t>
      </w:r>
      <w:r w:rsidR="003247DF">
        <w:rPr>
          <w:rFonts w:asciiTheme="majorHAnsi" w:eastAsiaTheme="minorEastAsia" w:hAnsiTheme="majorHAnsi"/>
          <w:lang w:eastAsia="zh-CN"/>
        </w:rPr>
        <w:t xml:space="preserve"> and analysis</w:t>
      </w:r>
      <w:r>
        <w:rPr>
          <w:rFonts w:asciiTheme="majorHAnsi" w:eastAsiaTheme="minorEastAsia" w:hAnsiTheme="majorHAnsi"/>
          <w:lang w:eastAsia="zh-CN"/>
        </w:rPr>
        <w:t xml:space="preserve">, we think the option 3 is more </w:t>
      </w:r>
      <w:r w:rsidR="001C0623" w:rsidRPr="001C0623">
        <w:rPr>
          <w:rFonts w:asciiTheme="majorHAnsi" w:eastAsiaTheme="minorEastAsia" w:hAnsiTheme="majorHAnsi"/>
          <w:lang w:eastAsia="zh-CN"/>
        </w:rPr>
        <w:t>appropriate</w:t>
      </w:r>
      <w:r w:rsidR="001C0623">
        <w:rPr>
          <w:rFonts w:asciiTheme="majorHAnsi" w:eastAsiaTheme="minorEastAsia" w:hAnsiTheme="majorHAnsi"/>
          <w:lang w:eastAsia="zh-CN"/>
        </w:rPr>
        <w:t xml:space="preserve"> for non-homogenous case</w:t>
      </w:r>
      <w:r w:rsidR="0046262E">
        <w:rPr>
          <w:rFonts w:asciiTheme="majorHAnsi" w:eastAsiaTheme="minorEastAsia" w:hAnsiTheme="majorHAnsi"/>
          <w:lang w:eastAsia="zh-CN"/>
        </w:rPr>
        <w:t xml:space="preserve">, </w:t>
      </w:r>
      <w:r w:rsidR="00F63BA1">
        <w:rPr>
          <w:rFonts w:asciiTheme="majorHAnsi" w:eastAsiaTheme="minorEastAsia" w:hAnsiTheme="majorHAnsi"/>
          <w:lang w:eastAsia="zh-CN"/>
        </w:rPr>
        <w:t xml:space="preserve">and we propose to liaise </w:t>
      </w:r>
      <w:r w:rsidR="0046262E">
        <w:rPr>
          <w:rFonts w:asciiTheme="majorHAnsi" w:eastAsiaTheme="minorEastAsia" w:hAnsiTheme="majorHAnsi"/>
          <w:lang w:eastAsia="zh-CN"/>
        </w:rPr>
        <w:t>CT4 to define a new type of GTP-U extension header.</w:t>
      </w:r>
    </w:p>
    <w:p w14:paraId="1F4B9901" w14:textId="71471816" w:rsidR="005F3B55" w:rsidRDefault="00E73803" w:rsidP="00345ED9">
      <w:pPr>
        <w:pStyle w:val="Proposal"/>
        <w:numPr>
          <w:ilvl w:val="0"/>
          <w:numId w:val="9"/>
        </w:numPr>
        <w:spacing w:before="60"/>
        <w:jc w:val="left"/>
        <w:rPr>
          <w:rFonts w:asciiTheme="majorHAnsi" w:eastAsiaTheme="minorEastAsia" w:hAnsiTheme="majorHAnsi"/>
        </w:rPr>
      </w:pPr>
      <w:r w:rsidRPr="00101CEB">
        <w:rPr>
          <w:rFonts w:asciiTheme="majorHAnsi" w:eastAsiaTheme="minorEastAsia" w:hAnsiTheme="majorHAnsi"/>
        </w:rPr>
        <w:t xml:space="preserve">Define </w:t>
      </w:r>
      <w:r w:rsidR="00101CEB" w:rsidRPr="00101CEB">
        <w:rPr>
          <w:rFonts w:asciiTheme="majorHAnsi" w:eastAsiaTheme="minorEastAsia" w:hAnsiTheme="majorHAnsi"/>
        </w:rPr>
        <w:t xml:space="preserve">a new </w:t>
      </w:r>
      <w:r w:rsidR="00F63BA1">
        <w:rPr>
          <w:rFonts w:asciiTheme="majorHAnsi" w:eastAsiaTheme="minorEastAsia" w:hAnsiTheme="majorHAnsi"/>
        </w:rPr>
        <w:t xml:space="preserve">PDU frame format </w:t>
      </w:r>
      <w:r w:rsidR="00101CEB" w:rsidRPr="00101CEB">
        <w:rPr>
          <w:rFonts w:asciiTheme="majorHAnsi" w:eastAsiaTheme="minorEastAsia" w:hAnsiTheme="majorHAnsi"/>
        </w:rPr>
        <w:t xml:space="preserve">for PDU Set Information </w:t>
      </w:r>
      <w:r w:rsidR="00F63BA1">
        <w:rPr>
          <w:rFonts w:asciiTheme="majorHAnsi" w:eastAsiaTheme="minorEastAsia" w:hAnsiTheme="majorHAnsi"/>
        </w:rPr>
        <w:t xml:space="preserve">which is used together with the </w:t>
      </w:r>
      <w:r w:rsidR="00F63BA1" w:rsidRPr="001F1CC6">
        <w:rPr>
          <w:rFonts w:asciiTheme="majorHAnsi" w:eastAsiaTheme="minorEastAsia" w:hAnsiTheme="majorHAnsi"/>
        </w:rPr>
        <w:t>DL PDU SESSION INFORMATION</w:t>
      </w:r>
      <w:r w:rsidR="00F63BA1" w:rsidRPr="00101CEB">
        <w:rPr>
          <w:rFonts w:asciiTheme="majorHAnsi" w:eastAsiaTheme="minorEastAsia" w:hAnsiTheme="majorHAnsi"/>
        </w:rPr>
        <w:t xml:space="preserve"> </w:t>
      </w:r>
      <w:r w:rsidR="00F63BA1">
        <w:rPr>
          <w:rFonts w:asciiTheme="majorHAnsi" w:eastAsiaTheme="minorEastAsia" w:hAnsiTheme="majorHAnsi"/>
        </w:rPr>
        <w:t xml:space="preserve">frame format </w:t>
      </w:r>
      <w:r w:rsidR="00101CEB" w:rsidRPr="00101CEB">
        <w:rPr>
          <w:rFonts w:asciiTheme="majorHAnsi" w:eastAsiaTheme="minorEastAsia" w:hAnsiTheme="majorHAnsi"/>
        </w:rPr>
        <w:t>and s</w:t>
      </w:r>
      <w:r w:rsidRPr="00101CEB">
        <w:rPr>
          <w:rFonts w:asciiTheme="majorHAnsi" w:eastAsiaTheme="minorEastAsia" w:hAnsiTheme="majorHAnsi"/>
        </w:rPr>
        <w:t>end an LS to CT4 to define a new type of GTP-U extension header for the PDU Set Information container.</w:t>
      </w:r>
    </w:p>
    <w:p w14:paraId="7C44F652" w14:textId="0B4062DF" w:rsidR="00F63BA1" w:rsidRPr="00F63BA1" w:rsidRDefault="00F63BA1" w:rsidP="00F63BA1">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Discuss and agree if the new “PDU Set GTP-U header extension” is specified in the existing TS </w:t>
      </w:r>
      <w:proofErr w:type="gramStart"/>
      <w:r>
        <w:rPr>
          <w:rFonts w:asciiTheme="majorHAnsi" w:eastAsiaTheme="minorEastAsia" w:hAnsiTheme="majorHAnsi"/>
        </w:rPr>
        <w:t>38.415  (</w:t>
      </w:r>
      <w:proofErr w:type="gramEnd"/>
      <w:r>
        <w:rPr>
          <w:rFonts w:asciiTheme="majorHAnsi" w:eastAsiaTheme="minorEastAsia" w:hAnsiTheme="majorHAnsi"/>
        </w:rPr>
        <w:t xml:space="preserve"> alternatively </w:t>
      </w:r>
      <w:r w:rsidR="003B644D">
        <w:rPr>
          <w:rFonts w:asciiTheme="majorHAnsi" w:eastAsiaTheme="minorEastAsia" w:hAnsiTheme="majorHAnsi"/>
        </w:rPr>
        <w:t xml:space="preserve">in TS </w:t>
      </w:r>
      <w:r>
        <w:rPr>
          <w:rFonts w:asciiTheme="majorHAnsi" w:eastAsiaTheme="minorEastAsia" w:hAnsiTheme="majorHAnsi"/>
        </w:rPr>
        <w:t>38.425) or within a new user plane specification</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2F17F461" w:rsidR="00FC45CA" w:rsidRDefault="00FC45CA"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 how to model the user plane protocol for PDU set information and End of Data Burst indication.  And we propose:</w:t>
      </w:r>
    </w:p>
    <w:p w14:paraId="10ECCAEE" w14:textId="4F73F223" w:rsidR="00F63BA1" w:rsidRPr="001E2B87" w:rsidRDefault="00FC45CA" w:rsidP="00F63BA1">
      <w:pPr>
        <w:pStyle w:val="Proposal"/>
        <w:rPr>
          <w:rFonts w:ascii="Cambria" w:eastAsiaTheme="minorEastAsia" w:hAnsi="Cambria"/>
        </w:rPr>
      </w:pPr>
      <w:r w:rsidRPr="001E2B87">
        <w:rPr>
          <w:rFonts w:ascii="Cambria" w:eastAsiaTheme="minorEastAsia" w:hAnsi="Cambria"/>
        </w:rPr>
        <w:t xml:space="preserve">Define a new </w:t>
      </w:r>
      <w:r w:rsidR="00F63BA1" w:rsidRPr="001E2B87">
        <w:rPr>
          <w:rFonts w:ascii="Cambria" w:eastAsiaTheme="minorEastAsia" w:hAnsi="Cambria"/>
        </w:rPr>
        <w:t xml:space="preserve">PDU frame format </w:t>
      </w:r>
      <w:r w:rsidRPr="001E2B87">
        <w:rPr>
          <w:rFonts w:ascii="Cambria" w:eastAsiaTheme="minorEastAsia" w:hAnsi="Cambria"/>
        </w:rPr>
        <w:t xml:space="preserve">for PDU Set Information </w:t>
      </w:r>
      <w:r w:rsidR="00F63BA1" w:rsidRPr="001E2B87">
        <w:rPr>
          <w:rFonts w:ascii="Cambria" w:eastAsiaTheme="minorEastAsia" w:hAnsi="Cambria"/>
        </w:rPr>
        <w:t xml:space="preserve">which is used together with the DL PDU SESSION INFORMATION frame format </w:t>
      </w:r>
      <w:r w:rsidRPr="001E2B87">
        <w:rPr>
          <w:rFonts w:ascii="Cambria" w:eastAsiaTheme="minorEastAsia" w:hAnsi="Cambria"/>
        </w:rPr>
        <w:t>and send an LS to CT4 to define a new type of GTP-U extension header for the PDU Set Information container.</w:t>
      </w:r>
    </w:p>
    <w:p w14:paraId="6731D643" w14:textId="3C80522E" w:rsidR="00F63BA1" w:rsidRPr="001E2B87" w:rsidRDefault="00F63BA1" w:rsidP="00F63BA1">
      <w:pPr>
        <w:pStyle w:val="Proposal"/>
        <w:rPr>
          <w:rFonts w:ascii="Cambria" w:eastAsiaTheme="minorEastAsia" w:hAnsi="Cambria"/>
        </w:rPr>
      </w:pPr>
      <w:r w:rsidRPr="001E2B87">
        <w:rPr>
          <w:rFonts w:ascii="Cambria" w:eastAsiaTheme="minorEastAsia" w:hAnsi="Cambria"/>
        </w:rPr>
        <w:t xml:space="preserve">Discuss and agree if the new “PDU Set GTP-U header extension” is specified in the existing TS </w:t>
      </w:r>
      <w:proofErr w:type="gramStart"/>
      <w:r w:rsidRPr="001E2B87">
        <w:rPr>
          <w:rFonts w:ascii="Cambria" w:eastAsiaTheme="minorEastAsia" w:hAnsi="Cambria"/>
        </w:rPr>
        <w:t>38.415  (</w:t>
      </w:r>
      <w:proofErr w:type="gramEnd"/>
      <w:r w:rsidRPr="001E2B87">
        <w:rPr>
          <w:rFonts w:ascii="Cambria" w:eastAsiaTheme="minorEastAsia" w:hAnsi="Cambria"/>
        </w:rPr>
        <w:t xml:space="preserve"> alternatively </w:t>
      </w:r>
      <w:r w:rsidR="003B644D" w:rsidRPr="001E2B87">
        <w:rPr>
          <w:rFonts w:ascii="Cambria" w:eastAsiaTheme="minorEastAsia" w:hAnsi="Cambria"/>
        </w:rPr>
        <w:t xml:space="preserve">in TS </w:t>
      </w:r>
      <w:r w:rsidRPr="001E2B87">
        <w:rPr>
          <w:rFonts w:ascii="Cambria" w:eastAsiaTheme="minorEastAsia" w:hAnsi="Cambria"/>
        </w:rPr>
        <w:t>38.425) or a new user plane specification</w:t>
      </w:r>
    </w:p>
    <w:p w14:paraId="400F4CE1" w14:textId="77777777" w:rsidR="00F63BA1" w:rsidRPr="00345ED9" w:rsidRDefault="00F63BA1" w:rsidP="00F63BA1">
      <w:pPr>
        <w:pStyle w:val="Proposal"/>
        <w:numPr>
          <w:ilvl w:val="0"/>
          <w:numId w:val="0"/>
        </w:numPr>
        <w:rPr>
          <w:rFonts w:eastAsiaTheme="minorEastAsia"/>
        </w:rPr>
      </w:pPr>
    </w:p>
    <w:p w14:paraId="361B04CE" w14:textId="6DACDC89" w:rsidR="00FC45CA" w:rsidRPr="00FC45CA" w:rsidRDefault="00256D5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The LS </w:t>
      </w:r>
      <w:r w:rsidR="001D61E1">
        <w:rPr>
          <w:rFonts w:asciiTheme="majorHAnsi" w:eastAsiaTheme="minorEastAsia" w:hAnsiTheme="majorHAnsi" w:cs="Arial"/>
          <w:lang w:eastAsia="zh-CN"/>
        </w:rPr>
        <w:t>to CT4 is provided in the Annex.</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4D35088" w:rsidR="00835F85"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 xml:space="preserve">TS </w:t>
      </w:r>
      <w:r w:rsidR="001D61E1">
        <w:rPr>
          <w:rFonts w:asciiTheme="majorHAnsi" w:eastAsiaTheme="minorEastAsia" w:hAnsiTheme="majorHAnsi" w:cs="Arial"/>
          <w:shd w:val="clear" w:color="auto" w:fill="FFFFFF"/>
          <w:lang w:eastAsia="zh-CN"/>
        </w:rPr>
        <w:t>38.415</w:t>
      </w:r>
      <w:r w:rsidR="00DC7AC8">
        <w:rPr>
          <w:rFonts w:asciiTheme="majorHAnsi" w:eastAsiaTheme="minorEastAsia" w:hAnsiTheme="majorHAnsi" w:cs="Arial"/>
          <w:shd w:val="clear" w:color="auto" w:fill="FFFFFF"/>
          <w:lang w:eastAsia="zh-CN"/>
        </w:rPr>
        <w:t>.</w:t>
      </w:r>
    </w:p>
    <w:p w14:paraId="1A1C2AD2" w14:textId="34CB8F21"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lastRenderedPageBreak/>
        <w:t>[</w:t>
      </w:r>
      <w:r>
        <w:rPr>
          <w:rFonts w:asciiTheme="majorHAnsi" w:eastAsiaTheme="minorEastAsia" w:hAnsiTheme="majorHAnsi" w:cs="Arial"/>
          <w:sz w:val="21"/>
          <w:szCs w:val="21"/>
          <w:lang w:eastAsia="zh-CN"/>
        </w:rPr>
        <w:t>2</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38.425.</w:t>
      </w:r>
    </w:p>
    <w:p w14:paraId="7E09CC47" w14:textId="1C94B7AC"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w:t>
      </w:r>
      <w:r>
        <w:rPr>
          <w:rFonts w:asciiTheme="majorHAnsi" w:eastAsiaTheme="minorEastAsia" w:hAnsiTheme="majorHAnsi" w:cs="Arial"/>
          <w:sz w:val="21"/>
          <w:szCs w:val="21"/>
          <w:lang w:eastAsia="zh-CN"/>
        </w:rPr>
        <w:t>3</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29.281.</w:t>
      </w:r>
    </w:p>
    <w:p w14:paraId="1B5AEAB1" w14:textId="4714E792" w:rsidR="00D5061D" w:rsidRPr="00273715" w:rsidRDefault="006E0A2F" w:rsidP="00D50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w:t>
      </w:r>
    </w:p>
    <w:p w14:paraId="18C35EE5" w14:textId="77777777" w:rsidR="001D61E1" w:rsidRPr="00AE6D01" w:rsidRDefault="001D61E1" w:rsidP="00807F0F">
      <w:pPr>
        <w:rPr>
          <w:rFonts w:asciiTheme="majorHAnsi" w:eastAsiaTheme="minorEastAsia" w:hAnsiTheme="majorHAnsi" w:cs="Arial"/>
          <w:b/>
          <w:bCs/>
          <w:shd w:val="clear" w:color="auto" w:fill="FFFFFF"/>
          <w:lang w:eastAsia="zh-CN"/>
        </w:rPr>
      </w:pPr>
    </w:p>
    <w:p w14:paraId="1C650672" w14:textId="42D60146" w:rsidR="00010593" w:rsidRPr="00AE6D01" w:rsidRDefault="00010593" w:rsidP="00010593">
      <w:pPr>
        <w:spacing w:after="60"/>
        <w:ind w:left="1985" w:hanging="1985"/>
        <w:rPr>
          <w:rFonts w:ascii="Arial" w:hAnsi="Arial" w:cs="Arial"/>
          <w:b/>
          <w:bCs/>
          <w:sz w:val="22"/>
          <w:szCs w:val="22"/>
        </w:rPr>
      </w:pPr>
      <w:r w:rsidRPr="00AE6D01">
        <w:rPr>
          <w:rFonts w:ascii="Arial" w:hAnsi="Arial" w:cs="Arial"/>
          <w:b/>
          <w:bCs/>
          <w:sz w:val="22"/>
          <w:szCs w:val="22"/>
        </w:rPr>
        <w:t>Title:</w:t>
      </w:r>
      <w:r w:rsidRPr="00AE6D01">
        <w:rPr>
          <w:rFonts w:ascii="Arial" w:hAnsi="Arial" w:cs="Arial"/>
          <w:b/>
          <w:bCs/>
          <w:sz w:val="22"/>
          <w:szCs w:val="22"/>
        </w:rPr>
        <w:tab/>
        <w:t xml:space="preserve">LS on </w:t>
      </w:r>
      <w:r w:rsidR="00F63BA1">
        <w:rPr>
          <w:rFonts w:ascii="Arial" w:hAnsi="Arial" w:cs="Arial"/>
          <w:b/>
          <w:bCs/>
          <w:sz w:val="22"/>
          <w:szCs w:val="22"/>
        </w:rPr>
        <w:t xml:space="preserve">defining new </w:t>
      </w:r>
      <w:r w:rsidRPr="00AE6D01">
        <w:rPr>
          <w:rFonts w:ascii="Arial" w:hAnsi="Arial" w:cs="Arial"/>
          <w:b/>
          <w:bCs/>
          <w:sz w:val="22"/>
          <w:szCs w:val="22"/>
        </w:rPr>
        <w:t xml:space="preserve">GTP-U Extension Header for PDU Set Information </w:t>
      </w:r>
    </w:p>
    <w:p w14:paraId="6AB503C6" w14:textId="77777777" w:rsidR="00010593" w:rsidRPr="00AE6D01" w:rsidRDefault="00010593" w:rsidP="00010593">
      <w:pPr>
        <w:spacing w:after="60"/>
        <w:ind w:left="1985" w:hanging="1985"/>
        <w:rPr>
          <w:rFonts w:ascii="Arial" w:hAnsi="Arial" w:cs="Arial"/>
          <w:b/>
          <w:bCs/>
          <w:sz w:val="22"/>
          <w:szCs w:val="22"/>
        </w:rPr>
      </w:pPr>
      <w:bookmarkStart w:id="8" w:name="OLE_LINK57"/>
      <w:bookmarkStart w:id="9" w:name="OLE_LINK58"/>
      <w:r w:rsidRPr="00AE6D01">
        <w:rPr>
          <w:rFonts w:ascii="Arial" w:hAnsi="Arial" w:cs="Arial"/>
          <w:b/>
          <w:bCs/>
          <w:sz w:val="22"/>
          <w:szCs w:val="22"/>
        </w:rPr>
        <w:t>Response to:</w:t>
      </w:r>
      <w:r w:rsidRPr="00AE6D01">
        <w:rPr>
          <w:rFonts w:ascii="Arial" w:hAnsi="Arial" w:cs="Arial"/>
          <w:b/>
          <w:bCs/>
          <w:sz w:val="22"/>
          <w:szCs w:val="22"/>
        </w:rPr>
        <w:tab/>
      </w:r>
    </w:p>
    <w:p w14:paraId="3D5EC442" w14:textId="77777777" w:rsidR="00010593" w:rsidRPr="00AE6D01" w:rsidRDefault="00010593" w:rsidP="0001059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AE6D01">
        <w:rPr>
          <w:rFonts w:ascii="Arial" w:hAnsi="Arial" w:cs="Arial"/>
          <w:b/>
          <w:bCs/>
          <w:sz w:val="22"/>
          <w:szCs w:val="22"/>
        </w:rPr>
        <w:t>Release:</w:t>
      </w:r>
      <w:r w:rsidRPr="00AE6D01">
        <w:rPr>
          <w:rFonts w:ascii="Arial" w:hAnsi="Arial" w:cs="Arial"/>
          <w:b/>
          <w:bCs/>
          <w:sz w:val="22"/>
          <w:szCs w:val="22"/>
        </w:rPr>
        <w:tab/>
        <w:t>Rel-18</w:t>
      </w:r>
    </w:p>
    <w:bookmarkEnd w:id="10"/>
    <w:bookmarkEnd w:id="11"/>
    <w:bookmarkEnd w:id="12"/>
    <w:p w14:paraId="779BDF15" w14:textId="06BE72CE" w:rsidR="00010593" w:rsidRPr="00AE6D01" w:rsidRDefault="00010593" w:rsidP="00010593">
      <w:pPr>
        <w:spacing w:after="60"/>
        <w:ind w:left="1985" w:hanging="1985"/>
        <w:rPr>
          <w:rFonts w:ascii="Arial" w:hAnsi="Arial" w:cs="Arial"/>
          <w:b/>
          <w:bCs/>
          <w:sz w:val="22"/>
          <w:szCs w:val="22"/>
        </w:rPr>
      </w:pPr>
      <w:r w:rsidRPr="00AE6D01">
        <w:rPr>
          <w:rFonts w:ascii="Arial" w:hAnsi="Arial" w:cs="Arial"/>
          <w:b/>
          <w:bCs/>
          <w:sz w:val="22"/>
          <w:szCs w:val="22"/>
        </w:rPr>
        <w:t>Work Item:</w:t>
      </w:r>
      <w:r w:rsidRPr="00AE6D01">
        <w:rPr>
          <w:rFonts w:ascii="Arial" w:hAnsi="Arial" w:cs="Arial"/>
          <w:b/>
          <w:bCs/>
          <w:sz w:val="22"/>
          <w:szCs w:val="22"/>
        </w:rPr>
        <w:tab/>
      </w:r>
      <w:r w:rsidR="00AE6D01" w:rsidRPr="00AE6D01">
        <w:rPr>
          <w:rFonts w:ascii="Arial" w:hAnsi="Arial" w:cs="Arial"/>
          <w:b/>
          <w:bCs/>
          <w:sz w:val="22"/>
          <w:szCs w:val="22"/>
        </w:rPr>
        <w:t>NR_XR_enh-Core</w:t>
      </w:r>
    </w:p>
    <w:p w14:paraId="31CA10EE" w14:textId="77777777" w:rsidR="00010593" w:rsidRPr="00AE6D01" w:rsidRDefault="00010593" w:rsidP="00010593">
      <w:pPr>
        <w:spacing w:after="60"/>
        <w:ind w:left="1985" w:hanging="1985"/>
        <w:rPr>
          <w:rFonts w:ascii="Arial" w:hAnsi="Arial" w:cs="Arial"/>
          <w:b/>
          <w:bCs/>
          <w:sz w:val="22"/>
          <w:szCs w:val="22"/>
        </w:rPr>
      </w:pPr>
    </w:p>
    <w:p w14:paraId="2FF84E4F" w14:textId="5E9E9D66" w:rsidR="00010593" w:rsidRPr="00AE6D01" w:rsidRDefault="00010593" w:rsidP="00010593">
      <w:pPr>
        <w:spacing w:after="60"/>
        <w:ind w:left="1985" w:hanging="1985"/>
        <w:rPr>
          <w:rFonts w:ascii="Arial" w:hAnsi="Arial" w:cs="Arial"/>
          <w:b/>
          <w:bCs/>
          <w:sz w:val="22"/>
          <w:szCs w:val="22"/>
        </w:rPr>
      </w:pPr>
      <w:r w:rsidRPr="00AE6D01">
        <w:rPr>
          <w:rFonts w:ascii="Arial" w:hAnsi="Arial" w:cs="Arial"/>
          <w:b/>
          <w:bCs/>
          <w:sz w:val="22"/>
          <w:szCs w:val="22"/>
        </w:rPr>
        <w:t>Source:</w:t>
      </w:r>
      <w:r w:rsidRPr="00AE6D01">
        <w:rPr>
          <w:rFonts w:ascii="Arial" w:hAnsi="Arial" w:cs="Arial"/>
          <w:b/>
          <w:bCs/>
          <w:sz w:val="22"/>
          <w:szCs w:val="22"/>
        </w:rPr>
        <w:tab/>
      </w:r>
      <w:r w:rsidR="008726E3">
        <w:rPr>
          <w:rFonts w:ascii="Arial" w:hAnsi="Arial" w:cs="Arial"/>
          <w:b/>
          <w:bCs/>
          <w:sz w:val="22"/>
          <w:szCs w:val="22"/>
        </w:rPr>
        <w:t>RAN3</w:t>
      </w:r>
    </w:p>
    <w:p w14:paraId="63E0E9FD" w14:textId="6581A98F" w:rsidR="00010593" w:rsidRPr="00AE6D01" w:rsidRDefault="00010593" w:rsidP="00010593">
      <w:pPr>
        <w:spacing w:after="60"/>
        <w:ind w:left="1985" w:hanging="1985"/>
        <w:rPr>
          <w:rFonts w:ascii="Arial" w:hAnsi="Arial" w:cs="Arial"/>
          <w:b/>
          <w:bCs/>
          <w:sz w:val="22"/>
          <w:szCs w:val="22"/>
        </w:rPr>
      </w:pPr>
      <w:r w:rsidRPr="00AE6D01">
        <w:rPr>
          <w:rFonts w:ascii="Arial" w:hAnsi="Arial" w:cs="Arial"/>
          <w:b/>
          <w:bCs/>
          <w:sz w:val="22"/>
          <w:szCs w:val="22"/>
        </w:rPr>
        <w:t>To:</w:t>
      </w:r>
      <w:r w:rsidRPr="00AE6D01">
        <w:rPr>
          <w:rFonts w:ascii="Arial" w:hAnsi="Arial" w:cs="Arial"/>
          <w:b/>
          <w:bCs/>
          <w:sz w:val="22"/>
          <w:szCs w:val="22"/>
        </w:rPr>
        <w:tab/>
      </w:r>
      <w:r w:rsidR="008726E3">
        <w:rPr>
          <w:rFonts w:ascii="Arial" w:hAnsi="Arial" w:cs="Arial"/>
          <w:b/>
          <w:bCs/>
          <w:sz w:val="22"/>
          <w:szCs w:val="22"/>
        </w:rPr>
        <w:t>CT4</w:t>
      </w:r>
    </w:p>
    <w:p w14:paraId="467D7F14" w14:textId="4DCC94CE" w:rsidR="00010593" w:rsidRPr="00AE6D01" w:rsidRDefault="00010593" w:rsidP="00010593">
      <w:pPr>
        <w:spacing w:after="60"/>
        <w:ind w:left="1985" w:hanging="1985"/>
        <w:rPr>
          <w:rFonts w:ascii="Arial" w:hAnsi="Arial" w:cs="Arial"/>
          <w:b/>
          <w:bCs/>
          <w:sz w:val="22"/>
          <w:szCs w:val="22"/>
          <w:lang w:val="en-US"/>
        </w:rPr>
      </w:pPr>
      <w:bookmarkStart w:id="13" w:name="OLE_LINK45"/>
      <w:bookmarkStart w:id="14" w:name="OLE_LINK46"/>
      <w:r w:rsidRPr="00AE6D01">
        <w:rPr>
          <w:rFonts w:ascii="Arial" w:hAnsi="Arial" w:cs="Arial"/>
          <w:b/>
          <w:bCs/>
          <w:sz w:val="22"/>
          <w:szCs w:val="22"/>
          <w:lang w:val="en-US"/>
        </w:rPr>
        <w:t>Cc:</w:t>
      </w:r>
      <w:r w:rsidRPr="00AE6D01">
        <w:rPr>
          <w:rFonts w:ascii="Arial" w:hAnsi="Arial" w:cs="Arial"/>
          <w:b/>
          <w:bCs/>
          <w:sz w:val="22"/>
          <w:szCs w:val="22"/>
          <w:lang w:val="en-US"/>
        </w:rPr>
        <w:tab/>
      </w:r>
      <w:r w:rsidR="008726E3">
        <w:rPr>
          <w:rFonts w:ascii="Arial" w:hAnsi="Arial" w:cs="Arial"/>
          <w:b/>
          <w:bCs/>
          <w:sz w:val="22"/>
          <w:szCs w:val="22"/>
          <w:lang w:val="en-US"/>
        </w:rPr>
        <w:t>SA2</w:t>
      </w:r>
    </w:p>
    <w:bookmarkEnd w:id="13"/>
    <w:bookmarkEnd w:id="14"/>
    <w:p w14:paraId="5780F8E2" w14:textId="77777777" w:rsidR="00010593" w:rsidRPr="00AE6D01" w:rsidRDefault="00010593" w:rsidP="00010593">
      <w:pPr>
        <w:spacing w:after="60"/>
        <w:ind w:left="1985" w:hanging="1985"/>
        <w:rPr>
          <w:rFonts w:ascii="Arial" w:hAnsi="Arial" w:cs="Arial"/>
          <w:b/>
          <w:bCs/>
          <w:lang w:val="en-US"/>
        </w:rPr>
      </w:pPr>
    </w:p>
    <w:p w14:paraId="5D8BA3C6" w14:textId="5D5D18D2" w:rsidR="00010593" w:rsidRPr="00AE6D01" w:rsidRDefault="00010593" w:rsidP="00010593">
      <w:pPr>
        <w:spacing w:after="60"/>
        <w:ind w:left="1985" w:hanging="1985"/>
        <w:rPr>
          <w:rFonts w:ascii="Arial" w:hAnsi="Arial" w:cs="Arial"/>
          <w:b/>
          <w:bCs/>
          <w:sz w:val="22"/>
          <w:szCs w:val="22"/>
          <w:lang w:val="en-US"/>
        </w:rPr>
      </w:pPr>
      <w:r w:rsidRPr="00AE6D01">
        <w:rPr>
          <w:rFonts w:ascii="Arial" w:hAnsi="Arial" w:cs="Arial"/>
          <w:b/>
          <w:bCs/>
          <w:sz w:val="22"/>
          <w:szCs w:val="22"/>
          <w:lang w:val="en-US"/>
        </w:rPr>
        <w:t>Contact person:</w:t>
      </w:r>
      <w:r w:rsidRPr="00AE6D01">
        <w:rPr>
          <w:rFonts w:ascii="Arial" w:hAnsi="Arial" w:cs="Arial"/>
          <w:b/>
          <w:bCs/>
          <w:sz w:val="22"/>
          <w:szCs w:val="22"/>
          <w:lang w:val="en-US"/>
        </w:rPr>
        <w:tab/>
        <w:t>xxxx</w:t>
      </w:r>
    </w:p>
    <w:p w14:paraId="5116C768" w14:textId="77777777" w:rsidR="00010593" w:rsidRPr="00AE6D01" w:rsidRDefault="00010593" w:rsidP="00010593">
      <w:pPr>
        <w:spacing w:after="60"/>
        <w:rPr>
          <w:rFonts w:ascii="Arial" w:hAnsi="Arial" w:cs="Arial"/>
          <w:b/>
          <w:bCs/>
          <w:sz w:val="22"/>
          <w:szCs w:val="22"/>
        </w:rPr>
      </w:pPr>
    </w:p>
    <w:p w14:paraId="71ECD0DF" w14:textId="77777777" w:rsidR="00010593" w:rsidRPr="00AE6D01" w:rsidRDefault="00010593" w:rsidP="00010593">
      <w:pPr>
        <w:spacing w:after="60"/>
        <w:ind w:left="1985" w:hanging="1985"/>
        <w:rPr>
          <w:rFonts w:ascii="Arial" w:hAnsi="Arial" w:cs="Arial"/>
          <w:b/>
          <w:bCs/>
          <w:sz w:val="22"/>
          <w:szCs w:val="22"/>
        </w:rPr>
      </w:pPr>
      <w:r w:rsidRPr="00AE6D01">
        <w:rPr>
          <w:rFonts w:ascii="Arial" w:hAnsi="Arial" w:cs="Arial"/>
          <w:b/>
          <w:bCs/>
          <w:sz w:val="22"/>
          <w:szCs w:val="22"/>
        </w:rPr>
        <w:t xml:space="preserve">Send any </w:t>
      </w:r>
      <w:proofErr w:type="gramStart"/>
      <w:r w:rsidRPr="00AE6D01">
        <w:rPr>
          <w:rFonts w:ascii="Arial" w:hAnsi="Arial" w:cs="Arial"/>
          <w:b/>
          <w:bCs/>
          <w:sz w:val="22"/>
          <w:szCs w:val="22"/>
        </w:rPr>
        <w:t>reply</w:t>
      </w:r>
      <w:proofErr w:type="gramEnd"/>
      <w:r w:rsidRPr="00AE6D01">
        <w:rPr>
          <w:rFonts w:ascii="Arial" w:hAnsi="Arial" w:cs="Arial"/>
          <w:b/>
          <w:bCs/>
          <w:sz w:val="22"/>
          <w:szCs w:val="22"/>
        </w:rPr>
        <w:t xml:space="preserve"> LS to:</w:t>
      </w:r>
      <w:r w:rsidRPr="00AE6D01">
        <w:rPr>
          <w:rFonts w:ascii="Arial" w:hAnsi="Arial" w:cs="Arial"/>
          <w:b/>
          <w:bCs/>
          <w:sz w:val="22"/>
          <w:szCs w:val="22"/>
        </w:rPr>
        <w:tab/>
        <w:t xml:space="preserve">3GPP Liaisons Coordinator, </w:t>
      </w:r>
      <w:hyperlink r:id="rId11" w:history="1">
        <w:r w:rsidRPr="00AE6D01">
          <w:rPr>
            <w:rStyle w:val="af4"/>
            <w:rFonts w:ascii="Arial" w:hAnsi="Arial" w:cs="Arial"/>
            <w:b/>
            <w:bCs/>
            <w:sz w:val="22"/>
            <w:szCs w:val="22"/>
          </w:rPr>
          <w:t>mailto:3GPPLiaison@etsi.org</w:t>
        </w:r>
      </w:hyperlink>
    </w:p>
    <w:p w14:paraId="2515F107" w14:textId="77777777" w:rsidR="00010593" w:rsidRPr="00AE6D01" w:rsidRDefault="00010593" w:rsidP="00010593">
      <w:pPr>
        <w:spacing w:after="60"/>
        <w:ind w:left="1985" w:hanging="1985"/>
        <w:rPr>
          <w:rFonts w:ascii="Arial" w:hAnsi="Arial" w:cs="Arial"/>
          <w:b/>
          <w:bCs/>
        </w:rPr>
      </w:pPr>
    </w:p>
    <w:p w14:paraId="55CC5051" w14:textId="77777777" w:rsidR="00010593" w:rsidRPr="00AE6D01" w:rsidRDefault="00010593" w:rsidP="00010593">
      <w:pPr>
        <w:spacing w:after="60"/>
        <w:ind w:left="1985" w:hanging="1985"/>
        <w:rPr>
          <w:rFonts w:ascii="Arial" w:hAnsi="Arial" w:cs="Arial"/>
          <w:b/>
          <w:bCs/>
        </w:rPr>
      </w:pPr>
      <w:r w:rsidRPr="00AE6D01">
        <w:rPr>
          <w:rFonts w:ascii="Arial" w:hAnsi="Arial" w:cs="Arial"/>
          <w:b/>
          <w:bCs/>
        </w:rPr>
        <w:t>Attachments:</w:t>
      </w:r>
      <w:r w:rsidRPr="00AE6D01">
        <w:rPr>
          <w:rFonts w:ascii="Arial" w:hAnsi="Arial" w:cs="Arial"/>
          <w:b/>
          <w:bCs/>
        </w:rPr>
        <w:tab/>
      </w:r>
    </w:p>
    <w:p w14:paraId="1A3204CD" w14:textId="77777777" w:rsidR="00010593" w:rsidRDefault="00010593" w:rsidP="00010593">
      <w:pPr>
        <w:pStyle w:val="1"/>
      </w:pPr>
      <w:r>
        <w:t>1</w:t>
      </w:r>
      <w:r>
        <w:tab/>
        <w:t>Overall description</w:t>
      </w:r>
    </w:p>
    <w:p w14:paraId="54B825E6" w14:textId="3A897631" w:rsidR="00F54F78" w:rsidRDefault="00F54F78" w:rsidP="00010593">
      <w:pPr>
        <w:rPr>
          <w:rFonts w:eastAsiaTheme="minorEastAsia"/>
          <w:lang w:val="en-US" w:eastAsia="zh-CN"/>
        </w:rPr>
      </w:pPr>
      <w:r>
        <w:rPr>
          <w:rFonts w:eastAsiaTheme="minorEastAsia" w:hint="eastAsia"/>
          <w:lang w:val="en-US" w:eastAsia="zh-CN"/>
        </w:rPr>
        <w:t>R</w:t>
      </w:r>
      <w:r>
        <w:rPr>
          <w:rFonts w:eastAsiaTheme="minorEastAsia"/>
          <w:lang w:val="en-US" w:eastAsia="zh-CN"/>
        </w:rPr>
        <w:t>AN3 discussed to include PDU Set Information and End of Data Burst Indication in the user plane protocol. RAN3 discussed three options:</w:t>
      </w:r>
    </w:p>
    <w:p w14:paraId="03385A49" w14:textId="77777777" w:rsidR="00F54F78" w:rsidRPr="00F54F78" w:rsidRDefault="00F54F78" w:rsidP="00F54F78">
      <w:pPr>
        <w:pStyle w:val="B1"/>
        <w:rPr>
          <w:rFonts w:eastAsiaTheme="minorEastAsia"/>
          <w:lang w:val="en-US" w:eastAsia="zh-CN"/>
        </w:rPr>
      </w:pPr>
      <w:r w:rsidRPr="00F54F78">
        <w:rPr>
          <w:rFonts w:eastAsiaTheme="minorEastAsia"/>
          <w:lang w:val="en-US" w:eastAsia="zh-CN"/>
        </w:rPr>
        <w:t>-</w:t>
      </w:r>
      <w:r w:rsidRPr="00F54F78">
        <w:rPr>
          <w:rFonts w:eastAsiaTheme="minorEastAsia"/>
          <w:lang w:val="en-US" w:eastAsia="zh-CN"/>
        </w:rPr>
        <w:tab/>
        <w:t>Option 1: add the PDU set information as a new IE in the existing Frames (</w:t>
      </w:r>
      <w:proofErr w:type="gramStart"/>
      <w:r w:rsidRPr="00F54F78">
        <w:rPr>
          <w:rFonts w:eastAsiaTheme="minorEastAsia"/>
          <w:lang w:val="en-US" w:eastAsia="zh-CN"/>
        </w:rPr>
        <w:t>e.g.</w:t>
      </w:r>
      <w:proofErr w:type="gramEnd"/>
      <w:r w:rsidRPr="00F54F78">
        <w:rPr>
          <w:rFonts w:eastAsiaTheme="minorEastAsia"/>
          <w:lang w:val="en-US" w:eastAsia="zh-CN"/>
        </w:rPr>
        <w:t xml:space="preserve"> frame with PDU Type =0);</w:t>
      </w:r>
    </w:p>
    <w:p w14:paraId="23EC613D" w14:textId="77777777" w:rsidR="00F54F78" w:rsidRPr="00F54F78" w:rsidRDefault="00F54F78" w:rsidP="00F54F78">
      <w:pPr>
        <w:pStyle w:val="B1"/>
        <w:rPr>
          <w:rFonts w:eastAsiaTheme="minorEastAsia"/>
          <w:lang w:val="en-US" w:eastAsia="zh-CN"/>
        </w:rPr>
      </w:pPr>
      <w:r w:rsidRPr="00F54F78">
        <w:rPr>
          <w:rFonts w:eastAsiaTheme="minorEastAsia"/>
          <w:lang w:val="en-US" w:eastAsia="zh-CN"/>
        </w:rPr>
        <w:t>-</w:t>
      </w:r>
      <w:r w:rsidRPr="00F54F78">
        <w:rPr>
          <w:rFonts w:eastAsiaTheme="minorEastAsia"/>
          <w:lang w:val="en-US" w:eastAsia="zh-CN"/>
        </w:rPr>
        <w:tab/>
        <w:t xml:space="preserve">Option 2: add the PDU Set Information as a new Frame (PDU type) in the existing </w:t>
      </w:r>
      <w:proofErr w:type="gramStart"/>
      <w:r w:rsidRPr="00F54F78">
        <w:rPr>
          <w:rFonts w:eastAsiaTheme="minorEastAsia"/>
          <w:lang w:val="en-US" w:eastAsia="zh-CN"/>
        </w:rPr>
        <w:t>container;</w:t>
      </w:r>
      <w:proofErr w:type="gramEnd"/>
    </w:p>
    <w:p w14:paraId="3E5B15EA" w14:textId="51F7724B" w:rsidR="00F54F78" w:rsidRPr="00F54F78" w:rsidRDefault="00F54F78" w:rsidP="00F54F78">
      <w:pPr>
        <w:pStyle w:val="B1"/>
        <w:rPr>
          <w:rFonts w:eastAsiaTheme="minorEastAsia"/>
          <w:lang w:val="en-US" w:eastAsia="zh-CN"/>
        </w:rPr>
      </w:pPr>
      <w:r w:rsidRPr="00F54F78">
        <w:rPr>
          <w:rFonts w:eastAsiaTheme="minorEastAsia"/>
          <w:lang w:val="en-US" w:eastAsia="zh-CN"/>
        </w:rPr>
        <w:t>-</w:t>
      </w:r>
      <w:r w:rsidRPr="00F54F78">
        <w:rPr>
          <w:rFonts w:eastAsiaTheme="minorEastAsia"/>
          <w:lang w:val="en-US" w:eastAsia="zh-CN"/>
        </w:rPr>
        <w:tab/>
        <w:t>Option 3: Define the PDU Set Information as a new container</w:t>
      </w:r>
      <w:r w:rsidR="00F32155">
        <w:rPr>
          <w:rFonts w:eastAsiaTheme="minorEastAsia"/>
          <w:lang w:val="en-US" w:eastAsia="zh-CN"/>
        </w:rPr>
        <w:t xml:space="preserve"> i.e., a new type of </w:t>
      </w:r>
      <w:r w:rsidR="00BE2EBA">
        <w:rPr>
          <w:rFonts w:eastAsiaTheme="minorEastAsia"/>
          <w:lang w:val="en-US" w:eastAsia="zh-CN"/>
        </w:rPr>
        <w:t>GTP-U extension header</w:t>
      </w:r>
      <w:r w:rsidRPr="00F54F78">
        <w:rPr>
          <w:rFonts w:eastAsiaTheme="minorEastAsia"/>
          <w:lang w:val="en-US" w:eastAsia="zh-CN"/>
        </w:rPr>
        <w:t>.</w:t>
      </w:r>
    </w:p>
    <w:p w14:paraId="68F2E49B" w14:textId="5885CC88" w:rsidR="00F54F78" w:rsidRPr="00E138C0" w:rsidRDefault="002F758B" w:rsidP="00010593">
      <w:pPr>
        <w:rPr>
          <w:rFonts w:eastAsiaTheme="minorEastAsia"/>
          <w:lang w:val="en-US" w:eastAsia="zh-CN"/>
        </w:rPr>
      </w:pPr>
      <w:r w:rsidRPr="00E138C0">
        <w:rPr>
          <w:rFonts w:eastAsiaTheme="minorEastAsia" w:hint="eastAsia"/>
          <w:lang w:val="en-US" w:eastAsia="zh-CN"/>
        </w:rPr>
        <w:t>R</w:t>
      </w:r>
      <w:r w:rsidRPr="00E138C0">
        <w:rPr>
          <w:rFonts w:eastAsiaTheme="minorEastAsia"/>
          <w:lang w:val="en-US" w:eastAsia="zh-CN"/>
        </w:rPr>
        <w:t xml:space="preserve">AN3 thinks the option 3 is more appropriate for non-homogenous case. For example, if the </w:t>
      </w:r>
      <w:r w:rsidR="00042231" w:rsidRPr="00E138C0">
        <w:rPr>
          <w:rFonts w:eastAsiaTheme="minorEastAsia"/>
          <w:lang w:val="en-US" w:eastAsia="zh-CN"/>
        </w:rPr>
        <w:t xml:space="preserve">receiving node does not support PDU Set concept, the </w:t>
      </w:r>
      <w:r w:rsidR="00F32155" w:rsidRPr="00E138C0">
        <w:rPr>
          <w:rFonts w:eastAsiaTheme="minorEastAsia"/>
          <w:lang w:val="en-US" w:eastAsia="zh-CN"/>
        </w:rPr>
        <w:t>receiving</w:t>
      </w:r>
      <w:r w:rsidR="00042231" w:rsidRPr="00E138C0">
        <w:rPr>
          <w:rFonts w:eastAsiaTheme="minorEastAsia"/>
          <w:lang w:val="en-US" w:eastAsia="zh-CN"/>
        </w:rPr>
        <w:t xml:space="preserve"> node can ignore the PDU Set Information </w:t>
      </w:r>
      <w:r w:rsidR="00F32155" w:rsidRPr="00E138C0">
        <w:rPr>
          <w:rFonts w:eastAsiaTheme="minorEastAsia"/>
          <w:lang w:val="en-US" w:eastAsia="zh-CN"/>
        </w:rPr>
        <w:t xml:space="preserve">and </w:t>
      </w:r>
      <w:r w:rsidR="00BE2EBA" w:rsidRPr="00E138C0">
        <w:rPr>
          <w:rFonts w:eastAsiaTheme="minorEastAsia"/>
          <w:lang w:val="en-US" w:eastAsia="zh-CN"/>
        </w:rPr>
        <w:t xml:space="preserve">continues to </w:t>
      </w:r>
      <w:r w:rsidR="00F32155" w:rsidRPr="00E138C0">
        <w:rPr>
          <w:rFonts w:eastAsiaTheme="minorEastAsia"/>
          <w:lang w:val="en-US" w:eastAsia="zh-CN"/>
        </w:rPr>
        <w:t xml:space="preserve">apply the </w:t>
      </w:r>
      <w:r w:rsidR="00BE2EBA" w:rsidRPr="00E138C0">
        <w:rPr>
          <w:rFonts w:eastAsiaTheme="minorEastAsia"/>
          <w:lang w:val="en-US" w:eastAsia="zh-CN"/>
        </w:rPr>
        <w:t>legacy information in the GTP-U header.</w:t>
      </w:r>
      <w:r w:rsidR="00F63BA1" w:rsidRPr="00E138C0">
        <w:rPr>
          <w:rFonts w:eastAsiaTheme="minorEastAsia"/>
          <w:lang w:val="en-US" w:eastAsia="zh-CN"/>
        </w:rPr>
        <w:t xml:space="preserve"> RAN3 will specify the new PDU Set GTP-U header extension, which is used together with the DL PDU SESSION INFORMATION frame format in TS 38.415, </w:t>
      </w:r>
      <w:proofErr w:type="gramStart"/>
      <w:r w:rsidR="00F63BA1" w:rsidRPr="00E138C0">
        <w:rPr>
          <w:rFonts w:eastAsiaTheme="minorEastAsia"/>
          <w:lang w:val="en-US" w:eastAsia="zh-CN"/>
        </w:rPr>
        <w:t>( or</w:t>
      </w:r>
      <w:proofErr w:type="gramEnd"/>
      <w:r w:rsidR="00F63BA1" w:rsidRPr="00E138C0">
        <w:rPr>
          <w:rFonts w:eastAsiaTheme="minorEastAsia"/>
          <w:lang w:val="en-US" w:eastAsia="zh-CN"/>
        </w:rPr>
        <w:t xml:space="preserve"> other, depends on the discussion in Oct. and update)</w:t>
      </w:r>
      <w:r w:rsidR="00E138C0">
        <w:rPr>
          <w:rFonts w:eastAsiaTheme="minorEastAsia"/>
          <w:lang w:val="en-US" w:eastAsia="zh-CN"/>
        </w:rPr>
        <w:t>.</w:t>
      </w:r>
    </w:p>
    <w:p w14:paraId="64086E84" w14:textId="3147339E" w:rsidR="00010593" w:rsidRPr="001E10A9" w:rsidRDefault="00BE2EBA" w:rsidP="00010593">
      <w:pPr>
        <w:rPr>
          <w:rFonts w:eastAsia="Batang"/>
          <w:lang w:val="en-US" w:eastAsia="ko-KR"/>
        </w:rPr>
      </w:pPr>
      <w:bookmarkStart w:id="15" w:name="_Hlk146270629"/>
      <w:r>
        <w:rPr>
          <w:rFonts w:eastAsia="Batang"/>
          <w:lang w:val="en-US" w:eastAsia="ko-KR"/>
        </w:rPr>
        <w:t>RAN3 kindly as CT</w:t>
      </w:r>
      <w:r w:rsidR="008726E3">
        <w:rPr>
          <w:rFonts w:eastAsia="Batang"/>
          <w:lang w:val="en-US" w:eastAsia="ko-KR"/>
        </w:rPr>
        <w:t>4 to define a new type of extension header for providing PDU Set Information container.</w:t>
      </w:r>
    </w:p>
    <w:bookmarkEnd w:id="15"/>
    <w:p w14:paraId="3284A488" w14:textId="77777777" w:rsidR="00010593" w:rsidRDefault="00010593" w:rsidP="00010593">
      <w:pPr>
        <w:pStyle w:val="1"/>
      </w:pPr>
      <w:r>
        <w:t>2</w:t>
      </w:r>
      <w:r>
        <w:tab/>
        <w:t>Actions</w:t>
      </w:r>
    </w:p>
    <w:p w14:paraId="25A8C26F" w14:textId="3430A122" w:rsidR="00010593" w:rsidRPr="00313D96" w:rsidRDefault="00010593" w:rsidP="00010593">
      <w:pPr>
        <w:rPr>
          <w:rFonts w:ascii="Arial" w:hAnsi="Arial" w:cs="Arial"/>
          <w:b/>
          <w:sz w:val="22"/>
          <w:szCs w:val="22"/>
        </w:rPr>
      </w:pPr>
      <w:r w:rsidRPr="00313D96">
        <w:rPr>
          <w:rFonts w:ascii="Arial" w:hAnsi="Arial" w:cs="Arial"/>
          <w:b/>
          <w:sz w:val="22"/>
          <w:szCs w:val="22"/>
        </w:rPr>
        <w:t xml:space="preserve">To </w:t>
      </w:r>
      <w:r w:rsidR="008726E3">
        <w:rPr>
          <w:rFonts w:ascii="Arial" w:hAnsi="Arial" w:cs="Arial"/>
          <w:b/>
          <w:sz w:val="22"/>
          <w:szCs w:val="22"/>
        </w:rPr>
        <w:t>CT4</w:t>
      </w:r>
    </w:p>
    <w:p w14:paraId="5637EBAC" w14:textId="5A72A093" w:rsidR="00010593" w:rsidRPr="008726E3" w:rsidRDefault="00010593" w:rsidP="008726E3">
      <w:pPr>
        <w:rPr>
          <w:rFonts w:eastAsia="Batang"/>
          <w:lang w:val="en-US" w:eastAsia="ko-KR"/>
        </w:rPr>
      </w:pPr>
      <w:r w:rsidRPr="00313D96">
        <w:rPr>
          <w:rFonts w:ascii="Arial" w:hAnsi="Arial" w:cs="Arial"/>
          <w:b/>
          <w:sz w:val="22"/>
          <w:szCs w:val="22"/>
        </w:rPr>
        <w:t>ACTION:</w:t>
      </w:r>
      <w:r w:rsidR="008726E3">
        <w:rPr>
          <w:rFonts w:ascii="Arial" w:hAnsi="Arial" w:cs="Arial"/>
          <w:b/>
          <w:sz w:val="22"/>
          <w:szCs w:val="22"/>
        </w:rPr>
        <w:t xml:space="preserve"> </w:t>
      </w:r>
      <w:r w:rsidR="008726E3">
        <w:rPr>
          <w:rFonts w:eastAsia="Batang"/>
          <w:lang w:val="en-US" w:eastAsia="ko-KR"/>
        </w:rPr>
        <w:t xml:space="preserve"> RAN3 kindly as CT4 to define a new type of extension header for providing PDU Set Information container</w:t>
      </w:r>
      <w:r>
        <w:t>.</w:t>
      </w:r>
    </w:p>
    <w:p w14:paraId="3A590D09" w14:textId="01343A03" w:rsidR="00010593" w:rsidRDefault="00010593" w:rsidP="00010593">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8726E3">
        <w:rPr>
          <w:rFonts w:cs="Arial"/>
          <w:szCs w:val="36"/>
        </w:rPr>
        <w:t>RAN3</w:t>
      </w:r>
      <w:r>
        <w:rPr>
          <w:szCs w:val="36"/>
        </w:rPr>
        <w:t xml:space="preserve"> m</w:t>
      </w:r>
      <w:r w:rsidRPr="000F6242">
        <w:rPr>
          <w:szCs w:val="36"/>
        </w:rPr>
        <w:t>eetings</w:t>
      </w:r>
    </w:p>
    <w:p w14:paraId="7F1D26C3" w14:textId="742EBD3A" w:rsidR="00010593" w:rsidRPr="00010593" w:rsidRDefault="008726E3" w:rsidP="00807F0F">
      <w:pPr>
        <w:rPr>
          <w:rFonts w:asciiTheme="majorHAnsi" w:eastAsiaTheme="minorEastAsia" w:hAnsiTheme="majorHAnsi" w:cs="Arial"/>
          <w:shd w:val="clear" w:color="auto" w:fill="FFFFFF"/>
          <w:lang w:eastAsia="zh-CN"/>
        </w:rPr>
      </w:pPr>
      <w:r>
        <w:rPr>
          <w:rFonts w:ascii="Arial" w:hAnsi="Arial" w:cs="Arial"/>
          <w:bCs/>
        </w:rPr>
        <w:t>[Tbd.]</w:t>
      </w:r>
    </w:p>
    <w:sectPr w:rsidR="00010593" w:rsidRPr="0001059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290F2" w14:textId="77777777" w:rsidR="007A09D4" w:rsidRDefault="007A09D4">
      <w:pPr>
        <w:spacing w:after="0"/>
      </w:pPr>
      <w:r>
        <w:separator/>
      </w:r>
    </w:p>
  </w:endnote>
  <w:endnote w:type="continuationSeparator" w:id="0">
    <w:p w14:paraId="296E3BF2" w14:textId="77777777" w:rsidR="007A09D4" w:rsidRDefault="007A0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C28C" w14:textId="77777777" w:rsidR="007A09D4" w:rsidRDefault="007A09D4">
      <w:pPr>
        <w:spacing w:after="0"/>
      </w:pPr>
      <w:r>
        <w:separator/>
      </w:r>
    </w:p>
  </w:footnote>
  <w:footnote w:type="continuationSeparator" w:id="0">
    <w:p w14:paraId="093B983F" w14:textId="77777777" w:rsidR="007A09D4" w:rsidRDefault="007A09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start w:val="1"/>
      <w:numFmt w:val="bullet"/>
      <w:lvlText w:val=""/>
      <w:lvlJc w:val="left"/>
      <w:pPr>
        <w:ind w:left="901" w:hanging="440"/>
      </w:pPr>
      <w:rPr>
        <w:rFonts w:ascii="Wingdings" w:hAnsi="Wingdings" w:hint="default"/>
      </w:rPr>
    </w:lvl>
    <w:lvl w:ilvl="2" w:tplc="04090005">
      <w:start w:val="1"/>
      <w:numFmt w:val="bullet"/>
      <w:lvlText w:val=""/>
      <w:lvlJc w:val="left"/>
      <w:pPr>
        <w:ind w:left="1341" w:hanging="440"/>
      </w:pPr>
      <w:rPr>
        <w:rFonts w:ascii="Wingdings" w:hAnsi="Wingdings" w:hint="default"/>
      </w:rPr>
    </w:lvl>
    <w:lvl w:ilvl="3" w:tplc="04090001">
      <w:start w:val="1"/>
      <w:numFmt w:val="bullet"/>
      <w:lvlText w:val=""/>
      <w:lvlJc w:val="left"/>
      <w:pPr>
        <w:ind w:left="1781" w:hanging="440"/>
      </w:pPr>
      <w:rPr>
        <w:rFonts w:ascii="Wingdings" w:hAnsi="Wingdings" w:hint="default"/>
      </w:rPr>
    </w:lvl>
    <w:lvl w:ilvl="4" w:tplc="04090003">
      <w:start w:val="1"/>
      <w:numFmt w:val="bullet"/>
      <w:lvlText w:val=""/>
      <w:lvlJc w:val="left"/>
      <w:pPr>
        <w:ind w:left="2221" w:hanging="440"/>
      </w:pPr>
      <w:rPr>
        <w:rFonts w:ascii="Wingdings" w:hAnsi="Wingdings" w:hint="default"/>
      </w:rPr>
    </w:lvl>
    <w:lvl w:ilvl="5" w:tplc="04090005">
      <w:start w:val="1"/>
      <w:numFmt w:val="bullet"/>
      <w:lvlText w:val=""/>
      <w:lvlJc w:val="left"/>
      <w:pPr>
        <w:ind w:left="2661" w:hanging="440"/>
      </w:pPr>
      <w:rPr>
        <w:rFonts w:ascii="Wingdings" w:hAnsi="Wingdings" w:hint="default"/>
      </w:rPr>
    </w:lvl>
    <w:lvl w:ilvl="6" w:tplc="04090001">
      <w:start w:val="1"/>
      <w:numFmt w:val="bullet"/>
      <w:lvlText w:val=""/>
      <w:lvlJc w:val="left"/>
      <w:pPr>
        <w:ind w:left="3101" w:hanging="440"/>
      </w:pPr>
      <w:rPr>
        <w:rFonts w:ascii="Wingdings" w:hAnsi="Wingdings" w:hint="default"/>
      </w:rPr>
    </w:lvl>
    <w:lvl w:ilvl="7" w:tplc="04090003">
      <w:start w:val="1"/>
      <w:numFmt w:val="bullet"/>
      <w:lvlText w:val=""/>
      <w:lvlJc w:val="left"/>
      <w:pPr>
        <w:ind w:left="3541" w:hanging="440"/>
      </w:pPr>
      <w:rPr>
        <w:rFonts w:ascii="Wingdings" w:hAnsi="Wingdings" w:hint="default"/>
      </w:rPr>
    </w:lvl>
    <w:lvl w:ilvl="8" w:tplc="04090005">
      <w:start w:val="1"/>
      <w:numFmt w:val="bullet"/>
      <w:lvlText w:val=""/>
      <w:lvlJc w:val="left"/>
      <w:pPr>
        <w:ind w:left="3981" w:hanging="440"/>
      </w:pPr>
      <w:rPr>
        <w:rFonts w:ascii="Wingdings" w:hAnsi="Wingdings" w:hint="default"/>
      </w:rPr>
    </w:lvl>
  </w:abstractNum>
  <w:abstractNum w:abstractNumId="1" w15:restartNumberingAfterBreak="0">
    <w:nsid w:val="11081D65"/>
    <w:multiLevelType w:val="hybridMultilevel"/>
    <w:tmpl w:val="41AAA8AE"/>
    <w:lvl w:ilvl="0" w:tplc="C29C836C">
      <w:start w:val="2"/>
      <w:numFmt w:val="bullet"/>
      <w:lvlText w:val="-"/>
      <w:lvlJc w:val="left"/>
      <w:pPr>
        <w:ind w:left="644" w:hanging="360"/>
      </w:pPr>
      <w:rPr>
        <w:rFonts w:ascii="Cambria" w:eastAsia="Times New Roman"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61ED9"/>
    <w:multiLevelType w:val="hybridMultilevel"/>
    <w:tmpl w:val="1F60F2D8"/>
    <w:lvl w:ilvl="0" w:tplc="EFBA74FC">
      <w:start w:val="1"/>
      <w:numFmt w:val="bullet"/>
      <w:lvlText w:val="•"/>
      <w:lvlJc w:val="left"/>
      <w:pPr>
        <w:tabs>
          <w:tab w:val="num" w:pos="720"/>
        </w:tabs>
        <w:ind w:left="720" w:hanging="360"/>
      </w:pPr>
      <w:rPr>
        <w:rFonts w:ascii="Arial" w:hAnsi="Arial" w:hint="default"/>
      </w:rPr>
    </w:lvl>
    <w:lvl w:ilvl="1" w:tplc="452E4682" w:tentative="1">
      <w:start w:val="1"/>
      <w:numFmt w:val="bullet"/>
      <w:lvlText w:val="•"/>
      <w:lvlJc w:val="left"/>
      <w:pPr>
        <w:tabs>
          <w:tab w:val="num" w:pos="1440"/>
        </w:tabs>
        <w:ind w:left="1440" w:hanging="360"/>
      </w:pPr>
      <w:rPr>
        <w:rFonts w:ascii="Arial" w:hAnsi="Arial" w:hint="default"/>
      </w:rPr>
    </w:lvl>
    <w:lvl w:ilvl="2" w:tplc="43D82088" w:tentative="1">
      <w:start w:val="1"/>
      <w:numFmt w:val="bullet"/>
      <w:lvlText w:val="•"/>
      <w:lvlJc w:val="left"/>
      <w:pPr>
        <w:tabs>
          <w:tab w:val="num" w:pos="2160"/>
        </w:tabs>
        <w:ind w:left="2160" w:hanging="360"/>
      </w:pPr>
      <w:rPr>
        <w:rFonts w:ascii="Arial" w:hAnsi="Arial" w:hint="default"/>
      </w:rPr>
    </w:lvl>
    <w:lvl w:ilvl="3" w:tplc="7A325054" w:tentative="1">
      <w:start w:val="1"/>
      <w:numFmt w:val="bullet"/>
      <w:lvlText w:val="•"/>
      <w:lvlJc w:val="left"/>
      <w:pPr>
        <w:tabs>
          <w:tab w:val="num" w:pos="2880"/>
        </w:tabs>
        <w:ind w:left="2880" w:hanging="360"/>
      </w:pPr>
      <w:rPr>
        <w:rFonts w:ascii="Arial" w:hAnsi="Arial" w:hint="default"/>
      </w:rPr>
    </w:lvl>
    <w:lvl w:ilvl="4" w:tplc="F7843B40" w:tentative="1">
      <w:start w:val="1"/>
      <w:numFmt w:val="bullet"/>
      <w:lvlText w:val="•"/>
      <w:lvlJc w:val="left"/>
      <w:pPr>
        <w:tabs>
          <w:tab w:val="num" w:pos="3600"/>
        </w:tabs>
        <w:ind w:left="3600" w:hanging="360"/>
      </w:pPr>
      <w:rPr>
        <w:rFonts w:ascii="Arial" w:hAnsi="Arial" w:hint="default"/>
      </w:rPr>
    </w:lvl>
    <w:lvl w:ilvl="5" w:tplc="55D43862" w:tentative="1">
      <w:start w:val="1"/>
      <w:numFmt w:val="bullet"/>
      <w:lvlText w:val="•"/>
      <w:lvlJc w:val="left"/>
      <w:pPr>
        <w:tabs>
          <w:tab w:val="num" w:pos="4320"/>
        </w:tabs>
        <w:ind w:left="4320" w:hanging="360"/>
      </w:pPr>
      <w:rPr>
        <w:rFonts w:ascii="Arial" w:hAnsi="Arial" w:hint="default"/>
      </w:rPr>
    </w:lvl>
    <w:lvl w:ilvl="6" w:tplc="8F845BE4" w:tentative="1">
      <w:start w:val="1"/>
      <w:numFmt w:val="bullet"/>
      <w:lvlText w:val="•"/>
      <w:lvlJc w:val="left"/>
      <w:pPr>
        <w:tabs>
          <w:tab w:val="num" w:pos="5040"/>
        </w:tabs>
        <w:ind w:left="5040" w:hanging="360"/>
      </w:pPr>
      <w:rPr>
        <w:rFonts w:ascii="Arial" w:hAnsi="Arial" w:hint="default"/>
      </w:rPr>
    </w:lvl>
    <w:lvl w:ilvl="7" w:tplc="D674D850" w:tentative="1">
      <w:start w:val="1"/>
      <w:numFmt w:val="bullet"/>
      <w:lvlText w:val="•"/>
      <w:lvlJc w:val="left"/>
      <w:pPr>
        <w:tabs>
          <w:tab w:val="num" w:pos="5760"/>
        </w:tabs>
        <w:ind w:left="5760" w:hanging="360"/>
      </w:pPr>
      <w:rPr>
        <w:rFonts w:ascii="Arial" w:hAnsi="Arial" w:hint="default"/>
      </w:rPr>
    </w:lvl>
    <w:lvl w:ilvl="8" w:tplc="F4108C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563FFE"/>
    <w:multiLevelType w:val="hybridMultilevel"/>
    <w:tmpl w:val="703E8EDE"/>
    <w:lvl w:ilvl="0" w:tplc="6498718E">
      <w:start w:val="1"/>
      <w:numFmt w:val="bullet"/>
      <w:lvlText w:val="•"/>
      <w:lvlJc w:val="left"/>
      <w:pPr>
        <w:tabs>
          <w:tab w:val="num" w:pos="720"/>
        </w:tabs>
        <w:ind w:left="720" w:hanging="360"/>
      </w:pPr>
      <w:rPr>
        <w:rFonts w:ascii="Arial" w:hAnsi="Arial" w:hint="default"/>
      </w:rPr>
    </w:lvl>
    <w:lvl w:ilvl="1" w:tplc="D7DA72D8" w:tentative="1">
      <w:start w:val="1"/>
      <w:numFmt w:val="bullet"/>
      <w:lvlText w:val="•"/>
      <w:lvlJc w:val="left"/>
      <w:pPr>
        <w:tabs>
          <w:tab w:val="num" w:pos="1440"/>
        </w:tabs>
        <w:ind w:left="1440" w:hanging="360"/>
      </w:pPr>
      <w:rPr>
        <w:rFonts w:ascii="Arial" w:hAnsi="Arial" w:hint="default"/>
      </w:rPr>
    </w:lvl>
    <w:lvl w:ilvl="2" w:tplc="2806BB7A" w:tentative="1">
      <w:start w:val="1"/>
      <w:numFmt w:val="bullet"/>
      <w:lvlText w:val="•"/>
      <w:lvlJc w:val="left"/>
      <w:pPr>
        <w:tabs>
          <w:tab w:val="num" w:pos="2160"/>
        </w:tabs>
        <w:ind w:left="2160" w:hanging="360"/>
      </w:pPr>
      <w:rPr>
        <w:rFonts w:ascii="Arial" w:hAnsi="Arial" w:hint="default"/>
      </w:rPr>
    </w:lvl>
    <w:lvl w:ilvl="3" w:tplc="B70E1EAC" w:tentative="1">
      <w:start w:val="1"/>
      <w:numFmt w:val="bullet"/>
      <w:lvlText w:val="•"/>
      <w:lvlJc w:val="left"/>
      <w:pPr>
        <w:tabs>
          <w:tab w:val="num" w:pos="2880"/>
        </w:tabs>
        <w:ind w:left="2880" w:hanging="360"/>
      </w:pPr>
      <w:rPr>
        <w:rFonts w:ascii="Arial" w:hAnsi="Arial" w:hint="default"/>
      </w:rPr>
    </w:lvl>
    <w:lvl w:ilvl="4" w:tplc="2BF6D2FC" w:tentative="1">
      <w:start w:val="1"/>
      <w:numFmt w:val="bullet"/>
      <w:lvlText w:val="•"/>
      <w:lvlJc w:val="left"/>
      <w:pPr>
        <w:tabs>
          <w:tab w:val="num" w:pos="3600"/>
        </w:tabs>
        <w:ind w:left="3600" w:hanging="360"/>
      </w:pPr>
      <w:rPr>
        <w:rFonts w:ascii="Arial" w:hAnsi="Arial" w:hint="default"/>
      </w:rPr>
    </w:lvl>
    <w:lvl w:ilvl="5" w:tplc="8394311E" w:tentative="1">
      <w:start w:val="1"/>
      <w:numFmt w:val="bullet"/>
      <w:lvlText w:val="•"/>
      <w:lvlJc w:val="left"/>
      <w:pPr>
        <w:tabs>
          <w:tab w:val="num" w:pos="4320"/>
        </w:tabs>
        <w:ind w:left="4320" w:hanging="360"/>
      </w:pPr>
      <w:rPr>
        <w:rFonts w:ascii="Arial" w:hAnsi="Arial" w:hint="default"/>
      </w:rPr>
    </w:lvl>
    <w:lvl w:ilvl="6" w:tplc="C11E0C08" w:tentative="1">
      <w:start w:val="1"/>
      <w:numFmt w:val="bullet"/>
      <w:lvlText w:val="•"/>
      <w:lvlJc w:val="left"/>
      <w:pPr>
        <w:tabs>
          <w:tab w:val="num" w:pos="5040"/>
        </w:tabs>
        <w:ind w:left="5040" w:hanging="360"/>
      </w:pPr>
      <w:rPr>
        <w:rFonts w:ascii="Arial" w:hAnsi="Arial" w:hint="default"/>
      </w:rPr>
    </w:lvl>
    <w:lvl w:ilvl="7" w:tplc="110C6F72" w:tentative="1">
      <w:start w:val="1"/>
      <w:numFmt w:val="bullet"/>
      <w:lvlText w:val="•"/>
      <w:lvlJc w:val="left"/>
      <w:pPr>
        <w:tabs>
          <w:tab w:val="num" w:pos="5760"/>
        </w:tabs>
        <w:ind w:left="5760" w:hanging="360"/>
      </w:pPr>
      <w:rPr>
        <w:rFonts w:ascii="Arial" w:hAnsi="Arial" w:hint="default"/>
      </w:rPr>
    </w:lvl>
    <w:lvl w:ilvl="8" w:tplc="DCBA83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675500BF"/>
    <w:multiLevelType w:val="hybridMultilevel"/>
    <w:tmpl w:val="D7C0963E"/>
    <w:lvl w:ilvl="0" w:tplc="8CC272A0">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7"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num w:numId="1" w16cid:durableId="2106725149">
    <w:abstractNumId w:val="13"/>
  </w:num>
  <w:num w:numId="2" w16cid:durableId="705713418">
    <w:abstractNumId w:val="12"/>
  </w:num>
  <w:num w:numId="3" w16cid:durableId="170225468">
    <w:abstractNumId w:val="10"/>
  </w:num>
  <w:num w:numId="4" w16cid:durableId="390885023">
    <w:abstractNumId w:val="2"/>
  </w:num>
  <w:num w:numId="5" w16cid:durableId="999429711">
    <w:abstractNumId w:val="4"/>
  </w:num>
  <w:num w:numId="6" w16cid:durableId="444465653">
    <w:abstractNumId w:val="16"/>
  </w:num>
  <w:num w:numId="7" w16cid:durableId="1963339073">
    <w:abstractNumId w:val="7"/>
  </w:num>
  <w:num w:numId="8" w16cid:durableId="1611428797">
    <w:abstractNumId w:val="11"/>
  </w:num>
  <w:num w:numId="9" w16cid:durableId="634408817">
    <w:abstractNumId w:val="8"/>
  </w:num>
  <w:num w:numId="10" w16cid:durableId="778377723">
    <w:abstractNumId w:val="9"/>
  </w:num>
  <w:num w:numId="11" w16cid:durableId="1668899622">
    <w:abstractNumId w:val="14"/>
  </w:num>
  <w:num w:numId="12" w16cid:durableId="2042197800">
    <w:abstractNumId w:val="3"/>
  </w:num>
  <w:num w:numId="13" w16cid:durableId="512186013">
    <w:abstractNumId w:val="8"/>
    <w:lvlOverride w:ilvl="0">
      <w:startOverride w:val="1"/>
    </w:lvlOverride>
  </w:num>
  <w:num w:numId="14" w16cid:durableId="1943341701">
    <w:abstractNumId w:val="0"/>
  </w:num>
  <w:num w:numId="15" w16cid:durableId="2000424889">
    <w:abstractNumId w:val="8"/>
  </w:num>
  <w:num w:numId="16" w16cid:durableId="184372532">
    <w:abstractNumId w:val="6"/>
  </w:num>
  <w:num w:numId="17" w16cid:durableId="349991194">
    <w:abstractNumId w:val="8"/>
  </w:num>
  <w:num w:numId="18" w16cid:durableId="1195315361">
    <w:abstractNumId w:val="8"/>
  </w:num>
  <w:num w:numId="19" w16cid:durableId="184490288">
    <w:abstractNumId w:val="8"/>
  </w:num>
  <w:num w:numId="20" w16cid:durableId="1256981091">
    <w:abstractNumId w:val="5"/>
  </w:num>
  <w:num w:numId="21" w16cid:durableId="1943874169">
    <w:abstractNumId w:val="8"/>
  </w:num>
  <w:num w:numId="22" w16cid:durableId="2027097272">
    <w:abstractNumId w:val="8"/>
  </w:num>
  <w:num w:numId="23" w16cid:durableId="1135561581">
    <w:abstractNumId w:val="8"/>
  </w:num>
  <w:num w:numId="24" w16cid:durableId="424426202">
    <w:abstractNumId w:val="8"/>
  </w:num>
  <w:num w:numId="25" w16cid:durableId="433670994">
    <w:abstractNumId w:val="8"/>
  </w:num>
  <w:num w:numId="26" w16cid:durableId="1772583717">
    <w:abstractNumId w:val="8"/>
  </w:num>
  <w:num w:numId="27" w16cid:durableId="1321151484">
    <w:abstractNumId w:val="8"/>
  </w:num>
  <w:num w:numId="28" w16cid:durableId="14620351">
    <w:abstractNumId w:val="8"/>
  </w:num>
  <w:num w:numId="29" w16cid:durableId="1509905578">
    <w:abstractNumId w:val="8"/>
  </w:num>
  <w:num w:numId="30" w16cid:durableId="554317795">
    <w:abstractNumId w:val="8"/>
  </w:num>
  <w:num w:numId="31" w16cid:durableId="555119731">
    <w:abstractNumId w:val="8"/>
  </w:num>
  <w:num w:numId="32" w16cid:durableId="663318168">
    <w:abstractNumId w:val="8"/>
  </w:num>
  <w:num w:numId="33" w16cid:durableId="186989917">
    <w:abstractNumId w:val="8"/>
  </w:num>
  <w:num w:numId="34" w16cid:durableId="839781685">
    <w:abstractNumId w:val="8"/>
  </w:num>
  <w:num w:numId="35" w16cid:durableId="757948991">
    <w:abstractNumId w:val="8"/>
  </w:num>
  <w:num w:numId="36" w16cid:durableId="1109202570">
    <w:abstractNumId w:val="8"/>
  </w:num>
  <w:num w:numId="37" w16cid:durableId="2012564154">
    <w:abstractNumId w:val="8"/>
  </w:num>
  <w:num w:numId="38" w16cid:durableId="304242081">
    <w:abstractNumId w:val="8"/>
  </w:num>
  <w:num w:numId="39" w16cid:durableId="3436505">
    <w:abstractNumId w:val="8"/>
  </w:num>
  <w:num w:numId="40" w16cid:durableId="1232690722">
    <w:abstractNumId w:val="0"/>
  </w:num>
  <w:num w:numId="41" w16cid:durableId="954754035">
    <w:abstractNumId w:val="8"/>
    <w:lvlOverride w:ilvl="0">
      <w:startOverride w:val="1"/>
    </w:lvlOverride>
  </w:num>
  <w:num w:numId="42" w16cid:durableId="927890168">
    <w:abstractNumId w:val="15"/>
  </w:num>
  <w:num w:numId="43" w16cid:durableId="1031222657">
    <w:abstractNumId w:val="1"/>
  </w:num>
  <w:num w:numId="44" w16cid:durableId="285045969">
    <w:abstractNumId w:val="17"/>
  </w:num>
  <w:num w:numId="45" w16cid:durableId="70228931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0593"/>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503"/>
    <w:rsid w:val="00040BA1"/>
    <w:rsid w:val="0004170C"/>
    <w:rsid w:val="00042096"/>
    <w:rsid w:val="00042231"/>
    <w:rsid w:val="00043640"/>
    <w:rsid w:val="00043A56"/>
    <w:rsid w:val="000446E5"/>
    <w:rsid w:val="00044FA3"/>
    <w:rsid w:val="00045418"/>
    <w:rsid w:val="000461EC"/>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CEB"/>
    <w:rsid w:val="00101D88"/>
    <w:rsid w:val="00102032"/>
    <w:rsid w:val="001026A7"/>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D2"/>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0623"/>
    <w:rsid w:val="001C1286"/>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61E1"/>
    <w:rsid w:val="001D6F04"/>
    <w:rsid w:val="001D73DD"/>
    <w:rsid w:val="001D79BE"/>
    <w:rsid w:val="001E11DA"/>
    <w:rsid w:val="001E1F5C"/>
    <w:rsid w:val="001E2093"/>
    <w:rsid w:val="001E2AB7"/>
    <w:rsid w:val="001E2B87"/>
    <w:rsid w:val="001E5034"/>
    <w:rsid w:val="001E6895"/>
    <w:rsid w:val="001E7E62"/>
    <w:rsid w:val="001F0017"/>
    <w:rsid w:val="001F1896"/>
    <w:rsid w:val="001F1CC6"/>
    <w:rsid w:val="001F33CA"/>
    <w:rsid w:val="001F403A"/>
    <w:rsid w:val="001F437B"/>
    <w:rsid w:val="001F4CC8"/>
    <w:rsid w:val="001F62BA"/>
    <w:rsid w:val="001F65A7"/>
    <w:rsid w:val="00200361"/>
    <w:rsid w:val="002008A8"/>
    <w:rsid w:val="00200C42"/>
    <w:rsid w:val="00202EB0"/>
    <w:rsid w:val="0020311B"/>
    <w:rsid w:val="0020484B"/>
    <w:rsid w:val="00206576"/>
    <w:rsid w:val="00206876"/>
    <w:rsid w:val="0020701D"/>
    <w:rsid w:val="00210E72"/>
    <w:rsid w:val="00212BB8"/>
    <w:rsid w:val="0021390C"/>
    <w:rsid w:val="002152A9"/>
    <w:rsid w:val="002155E6"/>
    <w:rsid w:val="002178BD"/>
    <w:rsid w:val="00217C91"/>
    <w:rsid w:val="002201A1"/>
    <w:rsid w:val="0022072C"/>
    <w:rsid w:val="00221DC2"/>
    <w:rsid w:val="00221F21"/>
    <w:rsid w:val="00222190"/>
    <w:rsid w:val="002250DF"/>
    <w:rsid w:val="00226863"/>
    <w:rsid w:val="00226A35"/>
    <w:rsid w:val="00230104"/>
    <w:rsid w:val="00230868"/>
    <w:rsid w:val="00231520"/>
    <w:rsid w:val="00231827"/>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6A13"/>
    <w:rsid w:val="00256D5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CD3"/>
    <w:rsid w:val="002C586E"/>
    <w:rsid w:val="002C6CC2"/>
    <w:rsid w:val="002D1332"/>
    <w:rsid w:val="002D1534"/>
    <w:rsid w:val="002D1FBB"/>
    <w:rsid w:val="002D2189"/>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2F758B"/>
    <w:rsid w:val="00300419"/>
    <w:rsid w:val="00301FCF"/>
    <w:rsid w:val="0030492B"/>
    <w:rsid w:val="0030494D"/>
    <w:rsid w:val="003059D1"/>
    <w:rsid w:val="00305D16"/>
    <w:rsid w:val="00305D46"/>
    <w:rsid w:val="00306940"/>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47DF"/>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5ED9"/>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3DF"/>
    <w:rsid w:val="003B644D"/>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7D9"/>
    <w:rsid w:val="003D2956"/>
    <w:rsid w:val="003D377D"/>
    <w:rsid w:val="003D3F18"/>
    <w:rsid w:val="003D4353"/>
    <w:rsid w:val="003D457D"/>
    <w:rsid w:val="003D4B49"/>
    <w:rsid w:val="003D6ABF"/>
    <w:rsid w:val="003D7FBC"/>
    <w:rsid w:val="003E4852"/>
    <w:rsid w:val="003E58DB"/>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116F4"/>
    <w:rsid w:val="0041179F"/>
    <w:rsid w:val="00411F13"/>
    <w:rsid w:val="00412796"/>
    <w:rsid w:val="0041364A"/>
    <w:rsid w:val="00413999"/>
    <w:rsid w:val="00414168"/>
    <w:rsid w:val="004156CD"/>
    <w:rsid w:val="004213FC"/>
    <w:rsid w:val="0042183E"/>
    <w:rsid w:val="00423E17"/>
    <w:rsid w:val="00424105"/>
    <w:rsid w:val="00424BB6"/>
    <w:rsid w:val="00424C68"/>
    <w:rsid w:val="0042544B"/>
    <w:rsid w:val="00425AA7"/>
    <w:rsid w:val="00425FCA"/>
    <w:rsid w:val="0042612E"/>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46A"/>
    <w:rsid w:val="004436B6"/>
    <w:rsid w:val="00444771"/>
    <w:rsid w:val="00444AD4"/>
    <w:rsid w:val="00444D46"/>
    <w:rsid w:val="00446298"/>
    <w:rsid w:val="00446405"/>
    <w:rsid w:val="00447303"/>
    <w:rsid w:val="00447C61"/>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4FC2"/>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B02FA"/>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615F"/>
    <w:rsid w:val="004E6612"/>
    <w:rsid w:val="004E66BB"/>
    <w:rsid w:val="004F1C75"/>
    <w:rsid w:val="004F2F8C"/>
    <w:rsid w:val="004F3FD1"/>
    <w:rsid w:val="004F53BF"/>
    <w:rsid w:val="004F54D6"/>
    <w:rsid w:val="004F7116"/>
    <w:rsid w:val="004F78AE"/>
    <w:rsid w:val="00501716"/>
    <w:rsid w:val="00501CBC"/>
    <w:rsid w:val="005039E1"/>
    <w:rsid w:val="00503F31"/>
    <w:rsid w:val="0050544D"/>
    <w:rsid w:val="005108BE"/>
    <w:rsid w:val="00511214"/>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6746"/>
    <w:rsid w:val="0052708E"/>
    <w:rsid w:val="00530F4E"/>
    <w:rsid w:val="00531E90"/>
    <w:rsid w:val="0053262B"/>
    <w:rsid w:val="00533780"/>
    <w:rsid w:val="0053565A"/>
    <w:rsid w:val="00535A0B"/>
    <w:rsid w:val="005364EC"/>
    <w:rsid w:val="00537628"/>
    <w:rsid w:val="0054136E"/>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18B"/>
    <w:rsid w:val="005A0835"/>
    <w:rsid w:val="005A1B30"/>
    <w:rsid w:val="005A39BA"/>
    <w:rsid w:val="005A39F3"/>
    <w:rsid w:val="005A41A1"/>
    <w:rsid w:val="005A49EF"/>
    <w:rsid w:val="005A519F"/>
    <w:rsid w:val="005A7864"/>
    <w:rsid w:val="005A7FAB"/>
    <w:rsid w:val="005B2383"/>
    <w:rsid w:val="005B3F65"/>
    <w:rsid w:val="005B4457"/>
    <w:rsid w:val="005B5477"/>
    <w:rsid w:val="005B5A12"/>
    <w:rsid w:val="005B5E53"/>
    <w:rsid w:val="005B6711"/>
    <w:rsid w:val="005B6FA8"/>
    <w:rsid w:val="005B7235"/>
    <w:rsid w:val="005C0F9E"/>
    <w:rsid w:val="005C1E42"/>
    <w:rsid w:val="005C32E8"/>
    <w:rsid w:val="005C3310"/>
    <w:rsid w:val="005C4366"/>
    <w:rsid w:val="005C492F"/>
    <w:rsid w:val="005C49C3"/>
    <w:rsid w:val="005C54FF"/>
    <w:rsid w:val="005C5755"/>
    <w:rsid w:val="005C7C5B"/>
    <w:rsid w:val="005D321C"/>
    <w:rsid w:val="005D429B"/>
    <w:rsid w:val="005D495F"/>
    <w:rsid w:val="005D650B"/>
    <w:rsid w:val="005D6916"/>
    <w:rsid w:val="005D6C53"/>
    <w:rsid w:val="005E39E6"/>
    <w:rsid w:val="005E3E6B"/>
    <w:rsid w:val="005E789C"/>
    <w:rsid w:val="005F0150"/>
    <w:rsid w:val="005F1FA5"/>
    <w:rsid w:val="005F23D1"/>
    <w:rsid w:val="005F3055"/>
    <w:rsid w:val="005F335E"/>
    <w:rsid w:val="005F3B55"/>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2E79"/>
    <w:rsid w:val="006236DA"/>
    <w:rsid w:val="00624243"/>
    <w:rsid w:val="0062790C"/>
    <w:rsid w:val="00627BC6"/>
    <w:rsid w:val="006302A9"/>
    <w:rsid w:val="00631E48"/>
    <w:rsid w:val="00632A88"/>
    <w:rsid w:val="006332DF"/>
    <w:rsid w:val="00633451"/>
    <w:rsid w:val="0063355E"/>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67415"/>
    <w:rsid w:val="0067262A"/>
    <w:rsid w:val="00673C3C"/>
    <w:rsid w:val="00673F3F"/>
    <w:rsid w:val="00673F64"/>
    <w:rsid w:val="006743AC"/>
    <w:rsid w:val="006749CD"/>
    <w:rsid w:val="00674AC1"/>
    <w:rsid w:val="00674ACD"/>
    <w:rsid w:val="00675108"/>
    <w:rsid w:val="0067551B"/>
    <w:rsid w:val="006757DD"/>
    <w:rsid w:val="00675F1D"/>
    <w:rsid w:val="0068165A"/>
    <w:rsid w:val="00681DAC"/>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0A2F"/>
    <w:rsid w:val="006E1DD6"/>
    <w:rsid w:val="006E2882"/>
    <w:rsid w:val="006E53DB"/>
    <w:rsid w:val="006E6460"/>
    <w:rsid w:val="006E70E9"/>
    <w:rsid w:val="006E7646"/>
    <w:rsid w:val="006E786E"/>
    <w:rsid w:val="006E7CFD"/>
    <w:rsid w:val="006F11C5"/>
    <w:rsid w:val="006F1D8A"/>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1607"/>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6296"/>
    <w:rsid w:val="00827B78"/>
    <w:rsid w:val="00827E45"/>
    <w:rsid w:val="00827FDC"/>
    <w:rsid w:val="0083016C"/>
    <w:rsid w:val="008307F2"/>
    <w:rsid w:val="0083100F"/>
    <w:rsid w:val="0083139F"/>
    <w:rsid w:val="0083239A"/>
    <w:rsid w:val="00833386"/>
    <w:rsid w:val="00833E11"/>
    <w:rsid w:val="00834335"/>
    <w:rsid w:val="008346AC"/>
    <w:rsid w:val="00835A4C"/>
    <w:rsid w:val="00835F85"/>
    <w:rsid w:val="00836517"/>
    <w:rsid w:val="008423C2"/>
    <w:rsid w:val="00843413"/>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0B9"/>
    <w:rsid w:val="0087265C"/>
    <w:rsid w:val="008726E3"/>
    <w:rsid w:val="00873B8F"/>
    <w:rsid w:val="00876073"/>
    <w:rsid w:val="00876E31"/>
    <w:rsid w:val="00877494"/>
    <w:rsid w:val="008775A4"/>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0AB"/>
    <w:rsid w:val="0089543C"/>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B66E0"/>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CBB"/>
    <w:rsid w:val="008E5AEA"/>
    <w:rsid w:val="008E6A5F"/>
    <w:rsid w:val="008E7485"/>
    <w:rsid w:val="008F2347"/>
    <w:rsid w:val="008F2EDC"/>
    <w:rsid w:val="008F32D0"/>
    <w:rsid w:val="008F554C"/>
    <w:rsid w:val="008F5635"/>
    <w:rsid w:val="008F5D4B"/>
    <w:rsid w:val="008F777E"/>
    <w:rsid w:val="009016FE"/>
    <w:rsid w:val="00901F59"/>
    <w:rsid w:val="00903F99"/>
    <w:rsid w:val="009076DF"/>
    <w:rsid w:val="009076F8"/>
    <w:rsid w:val="00907DA7"/>
    <w:rsid w:val="00907F64"/>
    <w:rsid w:val="009117E3"/>
    <w:rsid w:val="009142B3"/>
    <w:rsid w:val="009158A2"/>
    <w:rsid w:val="0091656C"/>
    <w:rsid w:val="00922D2D"/>
    <w:rsid w:val="00925C1A"/>
    <w:rsid w:val="009260C9"/>
    <w:rsid w:val="00926328"/>
    <w:rsid w:val="00927304"/>
    <w:rsid w:val="00927F07"/>
    <w:rsid w:val="00930067"/>
    <w:rsid w:val="00931E8B"/>
    <w:rsid w:val="00933F31"/>
    <w:rsid w:val="009350C7"/>
    <w:rsid w:val="00935577"/>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0FDA"/>
    <w:rsid w:val="00982076"/>
    <w:rsid w:val="00985AE8"/>
    <w:rsid w:val="00986616"/>
    <w:rsid w:val="00986A1E"/>
    <w:rsid w:val="00987236"/>
    <w:rsid w:val="00987368"/>
    <w:rsid w:val="00990383"/>
    <w:rsid w:val="009908B4"/>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16F5"/>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41B"/>
    <w:rsid w:val="009E4E3F"/>
    <w:rsid w:val="009E54BD"/>
    <w:rsid w:val="009E5606"/>
    <w:rsid w:val="009E64DF"/>
    <w:rsid w:val="009E7503"/>
    <w:rsid w:val="009E7692"/>
    <w:rsid w:val="009F0E33"/>
    <w:rsid w:val="009F13C5"/>
    <w:rsid w:val="009F2B14"/>
    <w:rsid w:val="009F2B62"/>
    <w:rsid w:val="009F3AEA"/>
    <w:rsid w:val="009F54D6"/>
    <w:rsid w:val="009F65D1"/>
    <w:rsid w:val="009F6E69"/>
    <w:rsid w:val="00A00195"/>
    <w:rsid w:val="00A00199"/>
    <w:rsid w:val="00A01538"/>
    <w:rsid w:val="00A028CE"/>
    <w:rsid w:val="00A0419B"/>
    <w:rsid w:val="00A067A9"/>
    <w:rsid w:val="00A076A5"/>
    <w:rsid w:val="00A10143"/>
    <w:rsid w:val="00A1022C"/>
    <w:rsid w:val="00A12332"/>
    <w:rsid w:val="00A135F6"/>
    <w:rsid w:val="00A14F70"/>
    <w:rsid w:val="00A15E56"/>
    <w:rsid w:val="00A23626"/>
    <w:rsid w:val="00A26B77"/>
    <w:rsid w:val="00A27733"/>
    <w:rsid w:val="00A3006A"/>
    <w:rsid w:val="00A30AEF"/>
    <w:rsid w:val="00A31912"/>
    <w:rsid w:val="00A31D5B"/>
    <w:rsid w:val="00A31F9F"/>
    <w:rsid w:val="00A33459"/>
    <w:rsid w:val="00A339D0"/>
    <w:rsid w:val="00A33BB9"/>
    <w:rsid w:val="00A34429"/>
    <w:rsid w:val="00A349F7"/>
    <w:rsid w:val="00A353DC"/>
    <w:rsid w:val="00A37D25"/>
    <w:rsid w:val="00A40310"/>
    <w:rsid w:val="00A405D7"/>
    <w:rsid w:val="00A40B83"/>
    <w:rsid w:val="00A41CFF"/>
    <w:rsid w:val="00A421CE"/>
    <w:rsid w:val="00A422FF"/>
    <w:rsid w:val="00A42325"/>
    <w:rsid w:val="00A42893"/>
    <w:rsid w:val="00A44C86"/>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2412"/>
    <w:rsid w:val="00A725E2"/>
    <w:rsid w:val="00A730C1"/>
    <w:rsid w:val="00A74D97"/>
    <w:rsid w:val="00A74FF7"/>
    <w:rsid w:val="00A75001"/>
    <w:rsid w:val="00A7567C"/>
    <w:rsid w:val="00A75C39"/>
    <w:rsid w:val="00A770A1"/>
    <w:rsid w:val="00A773B0"/>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0CA"/>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205F"/>
    <w:rsid w:val="00BE2EBA"/>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07969"/>
    <w:rsid w:val="00C1130F"/>
    <w:rsid w:val="00C1171F"/>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D6D"/>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2FAC"/>
    <w:rsid w:val="00C83184"/>
    <w:rsid w:val="00C8482E"/>
    <w:rsid w:val="00C84B9E"/>
    <w:rsid w:val="00C86C2E"/>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53D3"/>
    <w:rsid w:val="00D069ED"/>
    <w:rsid w:val="00D078BA"/>
    <w:rsid w:val="00D10C04"/>
    <w:rsid w:val="00D115A0"/>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1708"/>
    <w:rsid w:val="00D4214E"/>
    <w:rsid w:val="00D446A0"/>
    <w:rsid w:val="00D5061D"/>
    <w:rsid w:val="00D51959"/>
    <w:rsid w:val="00D52319"/>
    <w:rsid w:val="00D56873"/>
    <w:rsid w:val="00D56A8D"/>
    <w:rsid w:val="00D56CD0"/>
    <w:rsid w:val="00D5709E"/>
    <w:rsid w:val="00D576D4"/>
    <w:rsid w:val="00D57AC9"/>
    <w:rsid w:val="00D60048"/>
    <w:rsid w:val="00D63534"/>
    <w:rsid w:val="00D635F6"/>
    <w:rsid w:val="00D636B4"/>
    <w:rsid w:val="00D6370E"/>
    <w:rsid w:val="00D63E18"/>
    <w:rsid w:val="00D66550"/>
    <w:rsid w:val="00D66B44"/>
    <w:rsid w:val="00D67A71"/>
    <w:rsid w:val="00D71108"/>
    <w:rsid w:val="00D72CCB"/>
    <w:rsid w:val="00D72F2B"/>
    <w:rsid w:val="00D74E37"/>
    <w:rsid w:val="00D802B9"/>
    <w:rsid w:val="00D80E91"/>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1DA"/>
    <w:rsid w:val="00DE49C8"/>
    <w:rsid w:val="00DE5685"/>
    <w:rsid w:val="00DE6BB0"/>
    <w:rsid w:val="00DF004C"/>
    <w:rsid w:val="00DF100C"/>
    <w:rsid w:val="00DF297C"/>
    <w:rsid w:val="00DF432C"/>
    <w:rsid w:val="00DF4369"/>
    <w:rsid w:val="00DF7B97"/>
    <w:rsid w:val="00E00793"/>
    <w:rsid w:val="00E00CF9"/>
    <w:rsid w:val="00E018A3"/>
    <w:rsid w:val="00E03354"/>
    <w:rsid w:val="00E033BD"/>
    <w:rsid w:val="00E039BE"/>
    <w:rsid w:val="00E03FF1"/>
    <w:rsid w:val="00E044AB"/>
    <w:rsid w:val="00E06327"/>
    <w:rsid w:val="00E07C12"/>
    <w:rsid w:val="00E10DDA"/>
    <w:rsid w:val="00E1133F"/>
    <w:rsid w:val="00E12BA7"/>
    <w:rsid w:val="00E138C0"/>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4796F"/>
    <w:rsid w:val="00E52407"/>
    <w:rsid w:val="00E52A58"/>
    <w:rsid w:val="00E5317A"/>
    <w:rsid w:val="00E53CEC"/>
    <w:rsid w:val="00E545F5"/>
    <w:rsid w:val="00E56678"/>
    <w:rsid w:val="00E56E80"/>
    <w:rsid w:val="00E573F5"/>
    <w:rsid w:val="00E57DD0"/>
    <w:rsid w:val="00E61064"/>
    <w:rsid w:val="00E61B64"/>
    <w:rsid w:val="00E63FCC"/>
    <w:rsid w:val="00E64A39"/>
    <w:rsid w:val="00E659E2"/>
    <w:rsid w:val="00E65BC4"/>
    <w:rsid w:val="00E65FF0"/>
    <w:rsid w:val="00E67F7A"/>
    <w:rsid w:val="00E705EF"/>
    <w:rsid w:val="00E70607"/>
    <w:rsid w:val="00E70734"/>
    <w:rsid w:val="00E72203"/>
    <w:rsid w:val="00E73803"/>
    <w:rsid w:val="00E73D1C"/>
    <w:rsid w:val="00E74CA6"/>
    <w:rsid w:val="00E753EC"/>
    <w:rsid w:val="00E75F5E"/>
    <w:rsid w:val="00E80308"/>
    <w:rsid w:val="00E80D4B"/>
    <w:rsid w:val="00E8459A"/>
    <w:rsid w:val="00E8670A"/>
    <w:rsid w:val="00E8712C"/>
    <w:rsid w:val="00E87F61"/>
    <w:rsid w:val="00E90C26"/>
    <w:rsid w:val="00E93B04"/>
    <w:rsid w:val="00E943CA"/>
    <w:rsid w:val="00E9564B"/>
    <w:rsid w:val="00E96316"/>
    <w:rsid w:val="00E9660E"/>
    <w:rsid w:val="00EA100B"/>
    <w:rsid w:val="00EA35C9"/>
    <w:rsid w:val="00EA415B"/>
    <w:rsid w:val="00EA4658"/>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5EAE"/>
    <w:rsid w:val="00EE611C"/>
    <w:rsid w:val="00EE67FB"/>
    <w:rsid w:val="00EF0E3B"/>
    <w:rsid w:val="00EF20E6"/>
    <w:rsid w:val="00EF24CD"/>
    <w:rsid w:val="00EF2EF0"/>
    <w:rsid w:val="00EF3C80"/>
    <w:rsid w:val="00EF4831"/>
    <w:rsid w:val="00EF51F1"/>
    <w:rsid w:val="00EF5E7D"/>
    <w:rsid w:val="00F00F03"/>
    <w:rsid w:val="00F01009"/>
    <w:rsid w:val="00F01BDE"/>
    <w:rsid w:val="00F01D9E"/>
    <w:rsid w:val="00F043C7"/>
    <w:rsid w:val="00F05830"/>
    <w:rsid w:val="00F058DF"/>
    <w:rsid w:val="00F07005"/>
    <w:rsid w:val="00F0724C"/>
    <w:rsid w:val="00F13619"/>
    <w:rsid w:val="00F14A45"/>
    <w:rsid w:val="00F15078"/>
    <w:rsid w:val="00F160FD"/>
    <w:rsid w:val="00F16B65"/>
    <w:rsid w:val="00F20177"/>
    <w:rsid w:val="00F2033E"/>
    <w:rsid w:val="00F20CD7"/>
    <w:rsid w:val="00F20E2F"/>
    <w:rsid w:val="00F225A2"/>
    <w:rsid w:val="00F22B9A"/>
    <w:rsid w:val="00F23FD9"/>
    <w:rsid w:val="00F2447A"/>
    <w:rsid w:val="00F247F5"/>
    <w:rsid w:val="00F24B47"/>
    <w:rsid w:val="00F25AF6"/>
    <w:rsid w:val="00F263AA"/>
    <w:rsid w:val="00F27ABA"/>
    <w:rsid w:val="00F316BF"/>
    <w:rsid w:val="00F318B1"/>
    <w:rsid w:val="00F32155"/>
    <w:rsid w:val="00F32974"/>
    <w:rsid w:val="00F32DB3"/>
    <w:rsid w:val="00F32E4F"/>
    <w:rsid w:val="00F3365B"/>
    <w:rsid w:val="00F336BB"/>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DD2"/>
    <w:rsid w:val="00F56E2E"/>
    <w:rsid w:val="00F57E60"/>
    <w:rsid w:val="00F57F5C"/>
    <w:rsid w:val="00F613A2"/>
    <w:rsid w:val="00F62128"/>
    <w:rsid w:val="00F62790"/>
    <w:rsid w:val="00F62D83"/>
    <w:rsid w:val="00F63379"/>
    <w:rsid w:val="00F63BA1"/>
    <w:rsid w:val="00F67E70"/>
    <w:rsid w:val="00F71322"/>
    <w:rsid w:val="00F7200D"/>
    <w:rsid w:val="00F72835"/>
    <w:rsid w:val="00F72A6B"/>
    <w:rsid w:val="00F741E6"/>
    <w:rsid w:val="00F74B0A"/>
    <w:rsid w:val="00F80455"/>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B15"/>
    <w:rsid w:val="00FA5CC4"/>
    <w:rsid w:val="00FA7974"/>
    <w:rsid w:val="00FB2498"/>
    <w:rsid w:val="00FB27C5"/>
    <w:rsid w:val="00FB28F2"/>
    <w:rsid w:val="00FB5154"/>
    <w:rsid w:val="00FB7A9A"/>
    <w:rsid w:val="00FC1C7C"/>
    <w:rsid w:val="00FC1FFD"/>
    <w:rsid w:val="00FC221C"/>
    <w:rsid w:val="00FC292D"/>
    <w:rsid w:val="00FC347D"/>
    <w:rsid w:val="00FC453C"/>
    <w:rsid w:val="00FC45CA"/>
    <w:rsid w:val="00FC4BB5"/>
    <w:rsid w:val="00FC57A4"/>
    <w:rsid w:val="00FD0399"/>
    <w:rsid w:val="00FD0DFA"/>
    <w:rsid w:val="00FD1C3A"/>
    <w:rsid w:val="00FD1DF0"/>
    <w:rsid w:val="00FD20F6"/>
    <w:rsid w:val="00FD29B4"/>
    <w:rsid w:val="00FD3842"/>
    <w:rsid w:val="00FD70D1"/>
    <w:rsid w:val="00FD73DF"/>
    <w:rsid w:val="00FD7FCB"/>
    <w:rsid w:val="00FD7FF4"/>
    <w:rsid w:val="00FE03A4"/>
    <w:rsid w:val="00FE2373"/>
    <w:rsid w:val="00FE45D2"/>
    <w:rsid w:val="00FE56B9"/>
    <w:rsid w:val="00FE6CFA"/>
    <w:rsid w:val="00FE72D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6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4"/>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10</cp:revision>
  <cp:lastPrinted>2018-05-22T10:28:00Z</cp:lastPrinted>
  <dcterms:created xsi:type="dcterms:W3CDTF">2023-09-25T06:43:00Z</dcterms:created>
  <dcterms:modified xsi:type="dcterms:W3CDTF">2023-09-28T06:54:00Z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